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287"/>
        <w:gridCol w:w="4500"/>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A512A1">
            <w:pPr>
              <w:rPr>
                <w:b/>
              </w:rPr>
            </w:pPr>
            <w:r w:rsidRPr="001E0050">
              <w:rPr>
                <w:b/>
              </w:rPr>
              <w:t xml:space="preserve">Date:    </w:t>
            </w:r>
            <w:r w:rsidR="008B76AC">
              <w:rPr>
                <w:b/>
              </w:rPr>
              <w:t>November 21</w:t>
            </w:r>
            <w:r w:rsidR="009C4F61">
              <w:rPr>
                <w:b/>
              </w:rPr>
              <w:t>, 2017</w:t>
            </w:r>
          </w:p>
        </w:tc>
      </w:tr>
      <w:tr w:rsidR="00D81AA6" w:rsidRPr="001E0050" w:rsidTr="006E7DAB">
        <w:trPr>
          <w:trHeight w:val="275"/>
        </w:trPr>
        <w:tc>
          <w:tcPr>
            <w:tcW w:w="10080" w:type="dxa"/>
            <w:gridSpan w:val="2"/>
            <w:vMerge w:val="restart"/>
            <w:vAlign w:val="center"/>
          </w:tcPr>
          <w:p w:rsidR="008B76AC" w:rsidRDefault="00D81AA6" w:rsidP="00A512A1">
            <w:pPr>
              <w:rPr>
                <w:b/>
              </w:rPr>
            </w:pPr>
            <w:r w:rsidRPr="001E0050">
              <w:rPr>
                <w:b/>
              </w:rPr>
              <w:t>Board Members Attending:</w:t>
            </w:r>
            <w:r w:rsidR="003F79C4">
              <w:rPr>
                <w:b/>
              </w:rPr>
              <w:t xml:space="preserve"> </w:t>
            </w:r>
            <w:r w:rsidR="00C27C64">
              <w:rPr>
                <w:b/>
              </w:rPr>
              <w:t xml:space="preserve">Robin Andrews, </w:t>
            </w:r>
            <w:r w:rsidR="008B76AC">
              <w:rPr>
                <w:b/>
              </w:rPr>
              <w:t>Jim Campion, PJ Keeler</w:t>
            </w:r>
            <w:r w:rsidR="008B76AC">
              <w:rPr>
                <w:b/>
              </w:rPr>
              <w:t>, Chelly Hegan (by phone)</w:t>
            </w:r>
            <w:r w:rsidR="009C4F61">
              <w:rPr>
                <w:b/>
              </w:rPr>
              <w:t xml:space="preserve"> </w:t>
            </w:r>
          </w:p>
          <w:p w:rsidR="001A7704" w:rsidRPr="001E0050" w:rsidRDefault="00D81AA6" w:rsidP="00A512A1">
            <w:r w:rsidRPr="001E0050">
              <w:rPr>
                <w:b/>
              </w:rPr>
              <w:t xml:space="preserve">Board Members Absent:  </w:t>
            </w:r>
            <w:r w:rsidR="008B76AC">
              <w:rPr>
                <w:b/>
              </w:rPr>
              <w:t>Ken Stall, Onat Sanchez-Schwartz</w:t>
            </w:r>
          </w:p>
        </w:tc>
        <w:tc>
          <w:tcPr>
            <w:tcW w:w="4500" w:type="dxa"/>
          </w:tcPr>
          <w:p w:rsidR="00D81AA6" w:rsidRPr="001E0050" w:rsidRDefault="00D81AA6" w:rsidP="00A512A1">
            <w:pPr>
              <w:rPr>
                <w:b/>
              </w:rPr>
            </w:pPr>
            <w:r w:rsidRPr="001E0050">
              <w:rPr>
                <w:b/>
              </w:rPr>
              <w:t xml:space="preserve">Guests: </w:t>
            </w:r>
            <w:r w:rsidR="008B76AC">
              <w:rPr>
                <w:b/>
              </w:rPr>
              <w:t>Tim Bartholomew, TBOGC</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E40D99"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E40D99" w:rsidRPr="001E0050" w:rsidRDefault="00E40D99" w:rsidP="00A512A1">
            <w:pPr>
              <w:spacing w:before="120" w:after="120"/>
            </w:pPr>
            <w:r w:rsidRPr="001E0050">
              <w:t>Highlights from the Financial Reports</w:t>
            </w:r>
          </w:p>
          <w:p w:rsidR="00E40D99" w:rsidRDefault="00E40D99" w:rsidP="00A512A1"/>
        </w:tc>
        <w:tc>
          <w:tcPr>
            <w:tcW w:w="12787" w:type="dxa"/>
            <w:gridSpan w:val="2"/>
            <w:tcBorders>
              <w:top w:val="single" w:sz="4" w:space="0" w:color="auto"/>
              <w:left w:val="single" w:sz="4" w:space="0" w:color="auto"/>
              <w:bottom w:val="single" w:sz="4" w:space="0" w:color="auto"/>
            </w:tcBorders>
            <w:vAlign w:val="center"/>
          </w:tcPr>
          <w:p w:rsidR="00E40D99" w:rsidRDefault="00E40D99" w:rsidP="00A512A1">
            <w:pPr>
              <w:spacing w:before="120" w:after="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8B76AC">
              <w:t>October</w:t>
            </w:r>
            <w:r w:rsidR="001D6095">
              <w:t xml:space="preserve"> 31</w:t>
            </w:r>
            <w:r>
              <w:t>, 201</w:t>
            </w:r>
            <w:r w:rsidR="006C5404">
              <w:t>7</w:t>
            </w:r>
            <w:r>
              <w:t xml:space="preserve">. </w:t>
            </w:r>
            <w:r w:rsidR="00151D8B">
              <w:t xml:space="preserve">John Ray offered his “Fiscal Highlights” (see attached).  </w:t>
            </w:r>
          </w:p>
        </w:tc>
      </w:tr>
      <w:tr w:rsidR="009C4F61" w:rsidRPr="001E0050" w:rsidTr="00A56E15">
        <w:trPr>
          <w:trHeight w:val="710"/>
        </w:trPr>
        <w:tc>
          <w:tcPr>
            <w:tcW w:w="1793" w:type="dxa"/>
            <w:tcBorders>
              <w:top w:val="single" w:sz="4" w:space="0" w:color="auto"/>
              <w:left w:val="single" w:sz="8" w:space="0" w:color="auto"/>
              <w:bottom w:val="single" w:sz="4" w:space="0" w:color="auto"/>
              <w:right w:val="single" w:sz="4" w:space="0" w:color="auto"/>
            </w:tcBorders>
            <w:vAlign w:val="center"/>
          </w:tcPr>
          <w:p w:rsidR="009C4F61" w:rsidRPr="001E0050" w:rsidRDefault="009C4F61" w:rsidP="00A512A1">
            <w:pPr>
              <w:spacing w:before="120" w:after="120"/>
            </w:pPr>
            <w:r>
              <w:t>Monitoring Investment Account</w:t>
            </w:r>
          </w:p>
        </w:tc>
        <w:tc>
          <w:tcPr>
            <w:tcW w:w="12787" w:type="dxa"/>
            <w:gridSpan w:val="2"/>
            <w:tcBorders>
              <w:top w:val="single" w:sz="4" w:space="0" w:color="auto"/>
              <w:left w:val="single" w:sz="4" w:space="0" w:color="auto"/>
              <w:bottom w:val="single" w:sz="4" w:space="0" w:color="auto"/>
            </w:tcBorders>
            <w:vAlign w:val="center"/>
          </w:tcPr>
          <w:p w:rsidR="008B76AC" w:rsidRDefault="008B76AC" w:rsidP="00A512A1">
            <w:pPr>
              <w:spacing w:before="120" w:after="120"/>
            </w:pPr>
            <w:r>
              <w:t>Tim Bartholemew, our Investment Advisor from the Bank of Greene County, attended the meeting to provide his semi-annual in-person review pertaining to the agency’s investment account.  He provided statements from October and May, noting that the balance at January 1</w:t>
            </w:r>
            <w:r w:rsidRPr="008B76AC">
              <w:rPr>
                <w:vertAlign w:val="superscript"/>
              </w:rPr>
              <w:t>st</w:t>
            </w:r>
            <w:r>
              <w:t xml:space="preserve"> was $154,533.13 and at October 31</w:t>
            </w:r>
            <w:r w:rsidRPr="008B76AC">
              <w:rPr>
                <w:vertAlign w:val="superscript"/>
              </w:rPr>
              <w:t>st</w:t>
            </w:r>
            <w:r>
              <w:t xml:space="preserve"> was $164,090.28.  While he admitted the account is “not on fire here,” he noted it did experience a total growth between January and October of 5.82%.</w:t>
            </w:r>
          </w:p>
          <w:p w:rsidR="008B76AC" w:rsidRDefault="008B76AC" w:rsidP="00A512A1">
            <w:pPr>
              <w:spacing w:before="120" w:after="120"/>
            </w:pPr>
            <w:r>
              <w:t xml:space="preserve">Tim speculated about the effects of the pending tax plan.  It is his prediction that if the tax plan does not pass, there will be a </w:t>
            </w:r>
            <w:r w:rsidR="006E7DAB">
              <w:t>selloff</w:t>
            </w:r>
            <w:r>
              <w:t xml:space="preserve"> in the market</w:t>
            </w:r>
            <w:r w:rsidR="006E7DAB">
              <w:t xml:space="preserve"> which would drive prices down, and </w:t>
            </w:r>
            <w:r>
              <w:t>if it doe</w:t>
            </w:r>
            <w:r w:rsidR="006E7DAB">
              <w:t>s happen, the current growth will</w:t>
            </w:r>
            <w:r>
              <w:t xml:space="preserve"> continue into 2018.  </w:t>
            </w:r>
            <w:r>
              <w:t>His recommendation, if it does pass, is to make some subtle changes to the account.</w:t>
            </w:r>
            <w:r>
              <w:t xml:space="preserve">  He noted that there are a couple of funds within </w:t>
            </w:r>
            <w:r w:rsidR="006E7DAB">
              <w:t>the</w:t>
            </w:r>
            <w:r>
              <w:t xml:space="preserve"> portfolio which have </w:t>
            </w:r>
            <w:r w:rsidR="006E7DAB">
              <w:t xml:space="preserve">had </w:t>
            </w:r>
            <w:r>
              <w:t xml:space="preserve">lackluster performance.  He proposed to move 25% of the assets within each of these two positions into another fund which has experienced stronger growth.    </w:t>
            </w:r>
            <w:r w:rsidR="00BE521E">
              <w:t xml:space="preserve">The group </w:t>
            </w:r>
            <w:r w:rsidR="006E7DAB">
              <w:t xml:space="preserve">recognized </w:t>
            </w:r>
            <w:r w:rsidR="00BE521E">
              <w:t xml:space="preserve">that this would represent a shift from two ultra conservative, “stabilizing” funds to moderately aggressive funds focused on growth. </w:t>
            </w:r>
            <w:r w:rsidR="006E7DAB">
              <w:t>This is only a suggestion at this time; he would only make the change if the proposed legislation passes.</w:t>
            </w:r>
            <w:r w:rsidR="00472B51">
              <w:t xml:space="preserve">  The group discussed whether we should generally consider adding more equity stocks, consistent with the agency’s Investment Policy. </w:t>
            </w:r>
            <w:r w:rsidR="00472B51">
              <w:t>The group agreed to review the Investment Policy prior to its next meeting and to continue a conversation about rebalancing</w:t>
            </w:r>
            <w:r w:rsidR="00472B51">
              <w:t xml:space="preserve"> at that time</w:t>
            </w:r>
            <w:r w:rsidR="00472B51">
              <w:t xml:space="preserve">.  </w:t>
            </w:r>
          </w:p>
          <w:p w:rsidR="00BE521E" w:rsidRDefault="00BE521E" w:rsidP="00A512A1">
            <w:pPr>
              <w:spacing w:before="120" w:after="120"/>
            </w:pPr>
            <w:r>
              <w:t xml:space="preserve">The group had an extensive discussion about whether there was a stop loss feature on the account; Tim confirmed that there is not.  The group then discussed what precautions are taken to guarantee against excess loss. These entail reviewing the funds on a quarterly basis.  Also, Tim noted that he </w:t>
            </w:r>
            <w:r w:rsidR="00472B51">
              <w:t>monitors the funds themselves, if not our account,</w:t>
            </w:r>
            <w:r>
              <w:t xml:space="preserve"> daily.  Therefore, if anything dramatic were to occur, Tim would contact us immediately and directly with his recommendation.</w:t>
            </w:r>
            <w:r w:rsidR="00472B51">
              <w:t xml:space="preserve"> </w:t>
            </w:r>
            <w:r>
              <w:t>It was agreed that we may ask to institute a stop loss were we to add more equity stocks.</w:t>
            </w:r>
          </w:p>
          <w:p w:rsidR="009C4F61" w:rsidRPr="001E0050" w:rsidRDefault="00BE521E" w:rsidP="00472B51">
            <w:pPr>
              <w:spacing w:before="120" w:after="120"/>
            </w:pPr>
            <w:r>
              <w:t xml:space="preserve">The group then had an extensive discussion about </w:t>
            </w:r>
            <w:r w:rsidR="00472B51">
              <w:t xml:space="preserve">a new investment of </w:t>
            </w:r>
            <w:r>
              <w:t>excess cash</w:t>
            </w:r>
            <w:r w:rsidR="00472B51">
              <w:t xml:space="preserve">, discussing numbers from $25,000 to $100,000. It was decided that </w:t>
            </w:r>
            <w:r>
              <w:t xml:space="preserve">John </w:t>
            </w:r>
            <w:r w:rsidR="00472B51">
              <w:t xml:space="preserve">and Claire </w:t>
            </w:r>
            <w:r>
              <w:t xml:space="preserve">will </w:t>
            </w:r>
            <w:r w:rsidR="00472B51">
              <w:t xml:space="preserve">use the period between now and the next meeting to </w:t>
            </w:r>
            <w:r>
              <w:t>identify the fund balance at which they would like to operate, and any excess cash suitable for investment. A member advised that they also consult with their auditor</w:t>
            </w:r>
            <w:r w:rsidR="00A56E15">
              <w:t xml:space="preserve">. </w:t>
            </w:r>
          </w:p>
        </w:tc>
      </w:tr>
      <w:tr w:rsidR="00A56E15" w:rsidRPr="001E0050" w:rsidTr="00A56E15">
        <w:trPr>
          <w:trHeight w:val="602"/>
        </w:trPr>
        <w:tc>
          <w:tcPr>
            <w:tcW w:w="1793" w:type="dxa"/>
            <w:tcBorders>
              <w:top w:val="single" w:sz="4" w:space="0" w:color="auto"/>
              <w:left w:val="single" w:sz="8" w:space="0" w:color="auto"/>
              <w:bottom w:val="single" w:sz="4" w:space="0" w:color="auto"/>
              <w:right w:val="single" w:sz="4" w:space="0" w:color="auto"/>
            </w:tcBorders>
            <w:vAlign w:val="center"/>
          </w:tcPr>
          <w:p w:rsidR="00A56E15" w:rsidRDefault="00A56E15" w:rsidP="00A512A1">
            <w:pPr>
              <w:spacing w:before="120" w:after="120"/>
            </w:pPr>
            <w:r>
              <w:lastRenderedPageBreak/>
              <w:t>Report Format</w:t>
            </w:r>
          </w:p>
        </w:tc>
        <w:tc>
          <w:tcPr>
            <w:tcW w:w="12787" w:type="dxa"/>
            <w:gridSpan w:val="2"/>
            <w:tcBorders>
              <w:top w:val="single" w:sz="4" w:space="0" w:color="auto"/>
              <w:left w:val="single" w:sz="4" w:space="0" w:color="auto"/>
              <w:bottom w:val="single" w:sz="4" w:space="0" w:color="auto"/>
            </w:tcBorders>
            <w:vAlign w:val="center"/>
          </w:tcPr>
          <w:p w:rsidR="00A56E15" w:rsidRDefault="00A56E15" w:rsidP="00A512A1">
            <w:pPr>
              <w:spacing w:before="120" w:after="120"/>
            </w:pPr>
            <w:r>
              <w:t xml:space="preserve">The group agreed that John no longer needed to provide detailed A/P reports. </w:t>
            </w:r>
          </w:p>
        </w:tc>
      </w:tr>
      <w:tr w:rsidR="00A56E15"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A56E15" w:rsidRDefault="00A56E15" w:rsidP="00A512A1">
            <w:pPr>
              <w:spacing w:before="120" w:after="120"/>
            </w:pPr>
            <w:r>
              <w:t>Audit Update</w:t>
            </w:r>
          </w:p>
        </w:tc>
        <w:tc>
          <w:tcPr>
            <w:tcW w:w="12787" w:type="dxa"/>
            <w:gridSpan w:val="2"/>
            <w:tcBorders>
              <w:top w:val="single" w:sz="4" w:space="0" w:color="auto"/>
              <w:left w:val="single" w:sz="4" w:space="0" w:color="auto"/>
              <w:bottom w:val="single" w:sz="4" w:space="0" w:color="auto"/>
            </w:tcBorders>
            <w:vAlign w:val="center"/>
          </w:tcPr>
          <w:p w:rsidR="00A56E15" w:rsidRDefault="00A56E15" w:rsidP="00A512A1">
            <w:pPr>
              <w:spacing w:before="120" w:after="120"/>
            </w:pPr>
            <w:r>
              <w:t>John advised that Carol Hausamann from Marvin and Company will make a presentation to the Board at its meeting in December regarding the scope of audit.  They will also be on-site in December and again in February, with a completion date slated for April 1, 2018.</w:t>
            </w:r>
            <w:bookmarkStart w:id="0" w:name="_GoBack"/>
            <w:bookmarkEnd w:id="0"/>
          </w:p>
        </w:tc>
      </w:tr>
      <w:tr w:rsidR="00E40D99" w:rsidRPr="001E0050" w:rsidTr="00151D8B">
        <w:trPr>
          <w:trHeight w:val="530"/>
        </w:trPr>
        <w:tc>
          <w:tcPr>
            <w:tcW w:w="1793" w:type="dxa"/>
            <w:tcBorders>
              <w:top w:val="single" w:sz="4" w:space="0" w:color="auto"/>
              <w:left w:val="single" w:sz="8" w:space="0" w:color="auto"/>
              <w:bottom w:val="single" w:sz="4" w:space="0" w:color="auto"/>
              <w:right w:val="single" w:sz="4" w:space="0" w:color="auto"/>
            </w:tcBorders>
            <w:vAlign w:val="center"/>
          </w:tcPr>
          <w:p w:rsidR="00E40D99" w:rsidRPr="001E0050" w:rsidRDefault="00E40D99" w:rsidP="00A512A1">
            <w:r>
              <w:t>Next mtng</w:t>
            </w:r>
          </w:p>
        </w:tc>
        <w:tc>
          <w:tcPr>
            <w:tcW w:w="12787" w:type="dxa"/>
            <w:gridSpan w:val="2"/>
            <w:tcBorders>
              <w:top w:val="single" w:sz="4" w:space="0" w:color="auto"/>
              <w:left w:val="single" w:sz="4" w:space="0" w:color="auto"/>
              <w:bottom w:val="single" w:sz="4" w:space="0" w:color="auto"/>
            </w:tcBorders>
            <w:vAlign w:val="center"/>
          </w:tcPr>
          <w:p w:rsidR="00E40D99" w:rsidRPr="001E0050" w:rsidRDefault="00E40D99" w:rsidP="00A512A1">
            <w:pPr>
              <w:spacing w:before="120"/>
            </w:pPr>
            <w:r w:rsidRPr="005D783D">
              <w:t xml:space="preserve">The next meeting is </w:t>
            </w:r>
            <w:r w:rsidR="008B76AC" w:rsidRPr="008B76AC">
              <w:rPr>
                <w:b/>
              </w:rPr>
              <w:t>January 16</w:t>
            </w:r>
            <w:r w:rsidR="008B76AC" w:rsidRPr="008B76AC">
              <w:rPr>
                <w:b/>
                <w:vertAlign w:val="superscript"/>
              </w:rPr>
              <w:t>th</w:t>
            </w:r>
            <w:r w:rsidR="008B76AC">
              <w:t xml:space="preserve"> </w:t>
            </w:r>
            <w:r w:rsidR="002061BD" w:rsidRPr="00B75C3E">
              <w:rPr>
                <w:b/>
              </w:rPr>
              <w:t>at 3:00 p.m.</w:t>
            </w:r>
          </w:p>
        </w:tc>
      </w:tr>
    </w:tbl>
    <w:p w:rsidR="00151D8B" w:rsidRDefault="00151D8B" w:rsidP="00A512A1">
      <w:pPr>
        <w:sectPr w:rsidR="00151D8B" w:rsidSect="006C5404">
          <w:pgSz w:w="15840" w:h="12240" w:orient="landscape"/>
          <w:pgMar w:top="720" w:right="576" w:bottom="720" w:left="720" w:header="720" w:footer="720" w:gutter="0"/>
          <w:cols w:space="720"/>
          <w:docGrid w:linePitch="360"/>
        </w:sectPr>
      </w:pPr>
    </w:p>
    <w:p w:rsidR="00151D8B" w:rsidRDefault="00151D8B" w:rsidP="00A512A1"/>
    <w:tbl>
      <w:tblPr>
        <w:tblStyle w:val="TableGrid"/>
        <w:tblW w:w="10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
        <w:gridCol w:w="1257"/>
        <w:gridCol w:w="1555"/>
        <w:gridCol w:w="2251"/>
        <w:gridCol w:w="1440"/>
        <w:gridCol w:w="1601"/>
        <w:gridCol w:w="1228"/>
        <w:gridCol w:w="1287"/>
      </w:tblGrid>
      <w:tr w:rsidR="006E7DAB" w:rsidRPr="006E7DAB" w:rsidTr="00A512A1">
        <w:trPr>
          <w:trHeight w:val="465"/>
        </w:trPr>
        <w:tc>
          <w:tcPr>
            <w:tcW w:w="10956" w:type="dxa"/>
            <w:gridSpan w:val="8"/>
            <w:noWrap/>
            <w:hideMark/>
          </w:tcPr>
          <w:p w:rsidR="006E7DAB" w:rsidRPr="00A512A1" w:rsidRDefault="006E7DAB" w:rsidP="00A512A1">
            <w:pPr>
              <w:jc w:val="center"/>
              <w:rPr>
                <w:b/>
                <w:bCs/>
                <w:sz w:val="32"/>
              </w:rPr>
            </w:pPr>
            <w:r w:rsidRPr="00A512A1">
              <w:rPr>
                <w:b/>
                <w:bCs/>
                <w:sz w:val="32"/>
              </w:rPr>
              <w:t>Finance &amp; Budget Committee Meeting</w:t>
            </w:r>
          </w:p>
        </w:tc>
      </w:tr>
      <w:tr w:rsidR="006E7DAB" w:rsidRPr="006E7DAB" w:rsidTr="00A512A1">
        <w:trPr>
          <w:trHeight w:val="465"/>
        </w:trPr>
        <w:tc>
          <w:tcPr>
            <w:tcW w:w="10956" w:type="dxa"/>
            <w:gridSpan w:val="8"/>
            <w:noWrap/>
            <w:hideMark/>
          </w:tcPr>
          <w:p w:rsidR="006E7DAB" w:rsidRPr="00A512A1" w:rsidRDefault="006E7DAB" w:rsidP="00A512A1">
            <w:pPr>
              <w:jc w:val="center"/>
              <w:rPr>
                <w:b/>
                <w:bCs/>
                <w:sz w:val="32"/>
              </w:rPr>
            </w:pPr>
            <w:r w:rsidRPr="00A512A1">
              <w:rPr>
                <w:b/>
                <w:bCs/>
                <w:sz w:val="32"/>
              </w:rPr>
              <w:t>Fiscal Highlights</w:t>
            </w:r>
          </w:p>
        </w:tc>
      </w:tr>
      <w:tr w:rsidR="006E7DAB" w:rsidRPr="006E7DAB" w:rsidTr="00A512A1">
        <w:trPr>
          <w:trHeight w:val="465"/>
        </w:trPr>
        <w:tc>
          <w:tcPr>
            <w:tcW w:w="10956" w:type="dxa"/>
            <w:gridSpan w:val="8"/>
            <w:noWrap/>
            <w:hideMark/>
          </w:tcPr>
          <w:p w:rsidR="006E7DAB" w:rsidRPr="00A512A1" w:rsidRDefault="006E7DAB" w:rsidP="00A512A1">
            <w:pPr>
              <w:jc w:val="center"/>
              <w:rPr>
                <w:b/>
                <w:bCs/>
                <w:sz w:val="32"/>
              </w:rPr>
            </w:pPr>
            <w:r w:rsidRPr="00A512A1">
              <w:rPr>
                <w:b/>
                <w:bCs/>
                <w:sz w:val="32"/>
              </w:rPr>
              <w:t>Tuesday, November 21, 2017</w:t>
            </w:r>
          </w:p>
        </w:tc>
      </w:tr>
      <w:tr w:rsidR="006E7DAB" w:rsidRPr="006E7DAB" w:rsidTr="00A512A1">
        <w:trPr>
          <w:trHeight w:val="435"/>
        </w:trPr>
        <w:tc>
          <w:tcPr>
            <w:tcW w:w="10956" w:type="dxa"/>
            <w:gridSpan w:val="8"/>
            <w:hideMark/>
          </w:tcPr>
          <w:p w:rsidR="006E7DAB" w:rsidRPr="006E7DAB" w:rsidRDefault="006E7DAB" w:rsidP="00A512A1">
            <w:pPr>
              <w:jc w:val="center"/>
            </w:pPr>
            <w:bookmarkStart w:id="1" w:name="RANGE!A4:H89"/>
            <w:r w:rsidRPr="006E7DAB">
              <w:t>Statement of Financial Position</w:t>
            </w:r>
            <w:bookmarkEnd w:id="1"/>
          </w:p>
        </w:tc>
      </w:tr>
      <w:tr w:rsidR="006E7DAB" w:rsidRPr="006E7DAB" w:rsidTr="00A512A1">
        <w:trPr>
          <w:trHeight w:val="1020"/>
        </w:trPr>
        <w:tc>
          <w:tcPr>
            <w:tcW w:w="10956" w:type="dxa"/>
            <w:gridSpan w:val="8"/>
            <w:hideMark/>
          </w:tcPr>
          <w:p w:rsidR="006E7DAB" w:rsidRPr="006E7DAB" w:rsidRDefault="006E7DAB" w:rsidP="00A512A1">
            <w:r w:rsidRPr="006E7DAB">
              <w:rPr>
                <w:b/>
                <w:bCs/>
              </w:rPr>
              <w:t>Cash</w:t>
            </w:r>
            <w:r w:rsidRPr="006E7DAB">
              <w:t xml:space="preserve"> -  Cash balance in the operating checking account started the year off with $355K and ended with $350K at October 31, 2017. Low balance on June 26th was $199K &amp; the high balance on February 17th was $405K. Average daily balance for 2017 is $325K. During the month of July'17, we received two grant advances from NYSDOH totaling $102K (Tobacco $80K + CSP $22K)</w:t>
            </w:r>
          </w:p>
        </w:tc>
      </w:tr>
      <w:tr w:rsidR="00A512A1" w:rsidRPr="006E7DAB" w:rsidTr="00A512A1">
        <w:trPr>
          <w:trHeight w:val="1620"/>
        </w:trPr>
        <w:tc>
          <w:tcPr>
            <w:tcW w:w="337" w:type="dxa"/>
            <w:hideMark/>
          </w:tcPr>
          <w:p w:rsidR="006E7DAB" w:rsidRPr="006E7DAB" w:rsidRDefault="006E7DAB" w:rsidP="00A512A1"/>
        </w:tc>
        <w:tc>
          <w:tcPr>
            <w:tcW w:w="1257" w:type="dxa"/>
            <w:hideMark/>
          </w:tcPr>
          <w:p w:rsidR="006E7DAB" w:rsidRPr="006E7DAB" w:rsidRDefault="00A512A1" w:rsidP="00A512A1">
            <w:r w:rsidRPr="006E7DAB">
              <w:drawing>
                <wp:anchor distT="0" distB="0" distL="114300" distR="114300" simplePos="0" relativeHeight="251659264" behindDoc="0" locked="0" layoutInCell="1" allowOverlap="1">
                  <wp:simplePos x="0" y="0"/>
                  <wp:positionH relativeFrom="column">
                    <wp:posOffset>-263525</wp:posOffset>
                  </wp:positionH>
                  <wp:positionV relativeFrom="paragraph">
                    <wp:posOffset>34290</wp:posOffset>
                  </wp:positionV>
                  <wp:extent cx="6791325" cy="2266950"/>
                  <wp:effectExtent l="0" t="0" r="9525" b="0"/>
                  <wp:wrapNone/>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c>
        <w:tc>
          <w:tcPr>
            <w:tcW w:w="1555" w:type="dxa"/>
            <w:hideMark/>
          </w:tcPr>
          <w:p w:rsidR="006E7DAB" w:rsidRPr="006E7DAB" w:rsidRDefault="006E7DAB" w:rsidP="00A512A1"/>
        </w:tc>
        <w:tc>
          <w:tcPr>
            <w:tcW w:w="2251" w:type="dxa"/>
            <w:hideMark/>
          </w:tcPr>
          <w:p w:rsidR="006E7DAB" w:rsidRPr="006E7DAB" w:rsidRDefault="006E7DAB" w:rsidP="00A512A1"/>
        </w:tc>
        <w:tc>
          <w:tcPr>
            <w:tcW w:w="1440" w:type="dxa"/>
            <w:hideMark/>
          </w:tcPr>
          <w:p w:rsidR="006E7DAB" w:rsidRPr="006E7DAB" w:rsidRDefault="006E7DAB" w:rsidP="00A512A1"/>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r w:rsidR="00A512A1" w:rsidRPr="006E7DAB" w:rsidTr="00A512A1">
        <w:trPr>
          <w:trHeight w:val="1620"/>
        </w:trPr>
        <w:tc>
          <w:tcPr>
            <w:tcW w:w="337" w:type="dxa"/>
            <w:hideMark/>
          </w:tcPr>
          <w:p w:rsidR="006E7DAB" w:rsidRPr="006E7DAB" w:rsidRDefault="006E7DAB" w:rsidP="00A512A1"/>
        </w:tc>
        <w:tc>
          <w:tcPr>
            <w:tcW w:w="1257" w:type="dxa"/>
            <w:hideMark/>
          </w:tcPr>
          <w:p w:rsidR="006E7DAB" w:rsidRPr="006E7DAB" w:rsidRDefault="006E7DAB" w:rsidP="00A512A1"/>
        </w:tc>
        <w:tc>
          <w:tcPr>
            <w:tcW w:w="1555" w:type="dxa"/>
            <w:hideMark/>
          </w:tcPr>
          <w:p w:rsidR="006E7DAB" w:rsidRPr="006E7DAB" w:rsidRDefault="006E7DAB" w:rsidP="00A512A1"/>
        </w:tc>
        <w:tc>
          <w:tcPr>
            <w:tcW w:w="2251" w:type="dxa"/>
            <w:hideMark/>
          </w:tcPr>
          <w:p w:rsidR="006E7DAB" w:rsidRPr="006E7DAB" w:rsidRDefault="006E7DAB" w:rsidP="00A512A1"/>
        </w:tc>
        <w:tc>
          <w:tcPr>
            <w:tcW w:w="1440" w:type="dxa"/>
            <w:hideMark/>
          </w:tcPr>
          <w:p w:rsidR="006E7DAB" w:rsidRPr="006E7DAB" w:rsidRDefault="006E7DAB" w:rsidP="00A512A1"/>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r w:rsidR="00A512A1" w:rsidRPr="006E7DAB" w:rsidTr="00A512A1">
        <w:trPr>
          <w:trHeight w:val="558"/>
        </w:trPr>
        <w:tc>
          <w:tcPr>
            <w:tcW w:w="337" w:type="dxa"/>
            <w:hideMark/>
          </w:tcPr>
          <w:p w:rsidR="006E7DAB" w:rsidRPr="006E7DAB" w:rsidRDefault="006E7DAB" w:rsidP="00A512A1"/>
        </w:tc>
        <w:tc>
          <w:tcPr>
            <w:tcW w:w="1257" w:type="dxa"/>
            <w:hideMark/>
          </w:tcPr>
          <w:p w:rsidR="006E7DAB" w:rsidRPr="006E7DAB" w:rsidRDefault="006E7DAB" w:rsidP="00A512A1"/>
        </w:tc>
        <w:tc>
          <w:tcPr>
            <w:tcW w:w="1555" w:type="dxa"/>
            <w:hideMark/>
          </w:tcPr>
          <w:p w:rsidR="006E7DAB" w:rsidRPr="006E7DAB" w:rsidRDefault="006E7DAB" w:rsidP="00A512A1"/>
        </w:tc>
        <w:tc>
          <w:tcPr>
            <w:tcW w:w="2251" w:type="dxa"/>
            <w:hideMark/>
          </w:tcPr>
          <w:p w:rsidR="006E7DAB" w:rsidRPr="006E7DAB" w:rsidRDefault="006E7DAB" w:rsidP="00A512A1"/>
        </w:tc>
        <w:tc>
          <w:tcPr>
            <w:tcW w:w="1440" w:type="dxa"/>
            <w:hideMark/>
          </w:tcPr>
          <w:p w:rsidR="006E7DAB" w:rsidRPr="006E7DAB" w:rsidRDefault="006E7DAB" w:rsidP="00A512A1"/>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r w:rsidR="006E7DAB" w:rsidRPr="006E7DAB" w:rsidTr="00A512A1">
        <w:trPr>
          <w:trHeight w:val="765"/>
        </w:trPr>
        <w:tc>
          <w:tcPr>
            <w:tcW w:w="10956" w:type="dxa"/>
            <w:gridSpan w:val="8"/>
            <w:hideMark/>
          </w:tcPr>
          <w:p w:rsidR="006E7DAB" w:rsidRPr="006E7DAB" w:rsidRDefault="006E7DAB" w:rsidP="00A512A1">
            <w:r w:rsidRPr="006E7DAB">
              <w:rPr>
                <w:b/>
                <w:bCs/>
              </w:rPr>
              <w:t>Grant</w:t>
            </w:r>
            <w:r w:rsidR="00A512A1">
              <w:rPr>
                <w:b/>
                <w:bCs/>
              </w:rPr>
              <w:t>s</w:t>
            </w:r>
            <w:r w:rsidRPr="006E7DAB">
              <w:rPr>
                <w:b/>
                <w:bCs/>
              </w:rPr>
              <w:t xml:space="preserve"> Receivable - </w:t>
            </w:r>
            <w:r w:rsidRPr="006E7DAB">
              <w:t xml:space="preserve">  As of October 31, 2017 our Grant Receivable is $196,611. Expectation is that we will collect on all receivables.  Summary as follows:</w:t>
            </w:r>
          </w:p>
        </w:tc>
      </w:tr>
      <w:tr w:rsidR="00A512A1" w:rsidRPr="006E7DAB" w:rsidTr="00A512A1">
        <w:trPr>
          <w:trHeight w:val="80"/>
        </w:trPr>
        <w:tc>
          <w:tcPr>
            <w:tcW w:w="337" w:type="dxa"/>
            <w:hideMark/>
          </w:tcPr>
          <w:p w:rsidR="006E7DAB" w:rsidRPr="006E7DAB" w:rsidRDefault="006E7DAB" w:rsidP="00A512A1"/>
        </w:tc>
        <w:tc>
          <w:tcPr>
            <w:tcW w:w="2812" w:type="dxa"/>
            <w:gridSpan w:val="2"/>
            <w:hideMark/>
          </w:tcPr>
          <w:p w:rsidR="006E7DAB" w:rsidRPr="006E7DAB" w:rsidRDefault="006E7DAB" w:rsidP="00A512A1"/>
        </w:tc>
        <w:tc>
          <w:tcPr>
            <w:tcW w:w="2251" w:type="dxa"/>
            <w:hideMark/>
          </w:tcPr>
          <w:p w:rsidR="006E7DAB" w:rsidRPr="006E7DAB" w:rsidRDefault="006E7DAB" w:rsidP="00A512A1"/>
        </w:tc>
        <w:tc>
          <w:tcPr>
            <w:tcW w:w="1440" w:type="dxa"/>
            <w:hideMark/>
          </w:tcPr>
          <w:p w:rsidR="006E7DAB" w:rsidRPr="006E7DAB" w:rsidRDefault="006E7DAB" w:rsidP="00A512A1">
            <w:pPr>
              <w:jc w:val="right"/>
            </w:pPr>
            <w:r w:rsidRPr="006E7DAB">
              <w:t>Amount $</w:t>
            </w:r>
          </w:p>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r w:rsidR="00A512A1" w:rsidRPr="006E7DAB" w:rsidTr="00A512A1">
        <w:trPr>
          <w:trHeight w:val="315"/>
        </w:trPr>
        <w:tc>
          <w:tcPr>
            <w:tcW w:w="337" w:type="dxa"/>
            <w:hideMark/>
          </w:tcPr>
          <w:p w:rsidR="006E7DAB" w:rsidRPr="006E7DAB" w:rsidRDefault="006E7DAB" w:rsidP="00A512A1"/>
        </w:tc>
        <w:tc>
          <w:tcPr>
            <w:tcW w:w="1257" w:type="dxa"/>
            <w:noWrap/>
            <w:hideMark/>
          </w:tcPr>
          <w:p w:rsidR="006E7DAB" w:rsidRPr="006E7DAB" w:rsidRDefault="006E7DAB" w:rsidP="00A512A1"/>
        </w:tc>
        <w:tc>
          <w:tcPr>
            <w:tcW w:w="3806" w:type="dxa"/>
            <w:gridSpan w:val="2"/>
            <w:hideMark/>
          </w:tcPr>
          <w:p w:rsidR="006E7DAB" w:rsidRPr="006E7DAB" w:rsidRDefault="006E7DAB" w:rsidP="00A512A1">
            <w:r w:rsidRPr="006E7DAB">
              <w:t>Rural Health Network Program</w:t>
            </w:r>
          </w:p>
        </w:tc>
        <w:tc>
          <w:tcPr>
            <w:tcW w:w="1440" w:type="dxa"/>
            <w:noWrap/>
            <w:hideMark/>
          </w:tcPr>
          <w:p w:rsidR="006E7DAB" w:rsidRPr="006E7DAB" w:rsidRDefault="006E7DAB" w:rsidP="00A512A1">
            <w:pPr>
              <w:jc w:val="right"/>
            </w:pPr>
            <w:r w:rsidRPr="006E7DAB">
              <w:t xml:space="preserve">49,150 </w:t>
            </w:r>
          </w:p>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r w:rsidR="00A512A1" w:rsidRPr="006E7DAB" w:rsidTr="00A512A1">
        <w:trPr>
          <w:trHeight w:val="315"/>
        </w:trPr>
        <w:tc>
          <w:tcPr>
            <w:tcW w:w="337" w:type="dxa"/>
            <w:hideMark/>
          </w:tcPr>
          <w:p w:rsidR="006E7DAB" w:rsidRPr="006E7DAB" w:rsidRDefault="006E7DAB" w:rsidP="00A512A1"/>
        </w:tc>
        <w:tc>
          <w:tcPr>
            <w:tcW w:w="1257" w:type="dxa"/>
            <w:noWrap/>
            <w:hideMark/>
          </w:tcPr>
          <w:p w:rsidR="006E7DAB" w:rsidRPr="006E7DAB" w:rsidRDefault="006E7DAB" w:rsidP="00A512A1"/>
        </w:tc>
        <w:tc>
          <w:tcPr>
            <w:tcW w:w="3806" w:type="dxa"/>
            <w:gridSpan w:val="2"/>
            <w:hideMark/>
          </w:tcPr>
          <w:p w:rsidR="006E7DAB" w:rsidRPr="006E7DAB" w:rsidRDefault="006E7DAB" w:rsidP="00A512A1">
            <w:r w:rsidRPr="006E7DAB">
              <w:t>Navigator Health Exchange Program</w:t>
            </w:r>
          </w:p>
        </w:tc>
        <w:tc>
          <w:tcPr>
            <w:tcW w:w="1440" w:type="dxa"/>
            <w:noWrap/>
            <w:hideMark/>
          </w:tcPr>
          <w:p w:rsidR="006E7DAB" w:rsidRPr="006E7DAB" w:rsidRDefault="006E7DAB" w:rsidP="00A512A1">
            <w:pPr>
              <w:jc w:val="right"/>
            </w:pPr>
            <w:r w:rsidRPr="006E7DAB">
              <w:t xml:space="preserve">45,089 </w:t>
            </w:r>
          </w:p>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r w:rsidR="00A512A1" w:rsidRPr="006E7DAB" w:rsidTr="00A512A1">
        <w:trPr>
          <w:trHeight w:val="315"/>
        </w:trPr>
        <w:tc>
          <w:tcPr>
            <w:tcW w:w="337" w:type="dxa"/>
            <w:hideMark/>
          </w:tcPr>
          <w:p w:rsidR="006E7DAB" w:rsidRPr="006E7DAB" w:rsidRDefault="006E7DAB" w:rsidP="00A512A1"/>
        </w:tc>
        <w:tc>
          <w:tcPr>
            <w:tcW w:w="1257" w:type="dxa"/>
            <w:noWrap/>
            <w:hideMark/>
          </w:tcPr>
          <w:p w:rsidR="006E7DAB" w:rsidRPr="006E7DAB" w:rsidRDefault="006E7DAB" w:rsidP="00A512A1"/>
        </w:tc>
        <w:tc>
          <w:tcPr>
            <w:tcW w:w="3806" w:type="dxa"/>
            <w:gridSpan w:val="2"/>
            <w:hideMark/>
          </w:tcPr>
          <w:p w:rsidR="006E7DAB" w:rsidRPr="006E7DAB" w:rsidRDefault="006E7DAB" w:rsidP="00A512A1">
            <w:r w:rsidRPr="006E7DAB">
              <w:t>Tobacco-Free Program</w:t>
            </w:r>
          </w:p>
        </w:tc>
        <w:tc>
          <w:tcPr>
            <w:tcW w:w="1440" w:type="dxa"/>
            <w:noWrap/>
            <w:hideMark/>
          </w:tcPr>
          <w:p w:rsidR="006E7DAB" w:rsidRPr="006E7DAB" w:rsidRDefault="006E7DAB" w:rsidP="00A512A1">
            <w:pPr>
              <w:jc w:val="right"/>
            </w:pPr>
            <w:r w:rsidRPr="006E7DAB">
              <w:t xml:space="preserve">32,856 </w:t>
            </w:r>
          </w:p>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r w:rsidR="00A512A1" w:rsidRPr="006E7DAB" w:rsidTr="00A512A1">
        <w:trPr>
          <w:trHeight w:val="315"/>
        </w:trPr>
        <w:tc>
          <w:tcPr>
            <w:tcW w:w="337" w:type="dxa"/>
            <w:hideMark/>
          </w:tcPr>
          <w:p w:rsidR="006E7DAB" w:rsidRPr="006E7DAB" w:rsidRDefault="006E7DAB" w:rsidP="00A512A1"/>
        </w:tc>
        <w:tc>
          <w:tcPr>
            <w:tcW w:w="1257" w:type="dxa"/>
            <w:noWrap/>
            <w:hideMark/>
          </w:tcPr>
          <w:p w:rsidR="006E7DAB" w:rsidRPr="006E7DAB" w:rsidRDefault="006E7DAB" w:rsidP="00A512A1"/>
        </w:tc>
        <w:tc>
          <w:tcPr>
            <w:tcW w:w="3806" w:type="dxa"/>
            <w:gridSpan w:val="2"/>
            <w:hideMark/>
          </w:tcPr>
          <w:p w:rsidR="006E7DAB" w:rsidRPr="006E7DAB" w:rsidRDefault="006E7DAB" w:rsidP="00A512A1">
            <w:r w:rsidRPr="006E7DAB">
              <w:t>Cancer Services Program</w:t>
            </w:r>
          </w:p>
        </w:tc>
        <w:tc>
          <w:tcPr>
            <w:tcW w:w="1440" w:type="dxa"/>
            <w:noWrap/>
            <w:hideMark/>
          </w:tcPr>
          <w:p w:rsidR="006E7DAB" w:rsidRPr="006E7DAB" w:rsidRDefault="006E7DAB" w:rsidP="00A512A1">
            <w:pPr>
              <w:jc w:val="right"/>
            </w:pPr>
            <w:r w:rsidRPr="006E7DAB">
              <w:t xml:space="preserve">18,830 </w:t>
            </w:r>
          </w:p>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r w:rsidR="00A512A1" w:rsidRPr="006E7DAB" w:rsidTr="00A512A1">
        <w:trPr>
          <w:trHeight w:val="315"/>
        </w:trPr>
        <w:tc>
          <w:tcPr>
            <w:tcW w:w="337" w:type="dxa"/>
            <w:hideMark/>
          </w:tcPr>
          <w:p w:rsidR="006E7DAB" w:rsidRPr="006E7DAB" w:rsidRDefault="006E7DAB" w:rsidP="00A512A1"/>
        </w:tc>
        <w:tc>
          <w:tcPr>
            <w:tcW w:w="1257" w:type="dxa"/>
            <w:noWrap/>
            <w:hideMark/>
          </w:tcPr>
          <w:p w:rsidR="006E7DAB" w:rsidRPr="006E7DAB" w:rsidRDefault="006E7DAB" w:rsidP="00A512A1"/>
        </w:tc>
        <w:tc>
          <w:tcPr>
            <w:tcW w:w="3806" w:type="dxa"/>
            <w:gridSpan w:val="2"/>
            <w:hideMark/>
          </w:tcPr>
          <w:p w:rsidR="006E7DAB" w:rsidRPr="006E7DAB" w:rsidRDefault="006E7DAB" w:rsidP="00A512A1">
            <w:r w:rsidRPr="006E7DAB">
              <w:t>Transportation-Medicaid</w:t>
            </w:r>
          </w:p>
        </w:tc>
        <w:tc>
          <w:tcPr>
            <w:tcW w:w="1440" w:type="dxa"/>
            <w:noWrap/>
            <w:hideMark/>
          </w:tcPr>
          <w:p w:rsidR="006E7DAB" w:rsidRPr="006E7DAB" w:rsidRDefault="006E7DAB" w:rsidP="00A512A1">
            <w:pPr>
              <w:jc w:val="right"/>
            </w:pPr>
            <w:r w:rsidRPr="006E7DAB">
              <w:t xml:space="preserve">15,564 </w:t>
            </w:r>
          </w:p>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r w:rsidR="00A512A1" w:rsidRPr="006E7DAB" w:rsidTr="00A512A1">
        <w:trPr>
          <w:trHeight w:val="315"/>
        </w:trPr>
        <w:tc>
          <w:tcPr>
            <w:tcW w:w="337" w:type="dxa"/>
            <w:hideMark/>
          </w:tcPr>
          <w:p w:rsidR="006E7DAB" w:rsidRPr="006E7DAB" w:rsidRDefault="006E7DAB" w:rsidP="00A512A1"/>
        </w:tc>
        <w:tc>
          <w:tcPr>
            <w:tcW w:w="1257" w:type="dxa"/>
            <w:noWrap/>
            <w:hideMark/>
          </w:tcPr>
          <w:p w:rsidR="006E7DAB" w:rsidRPr="006E7DAB" w:rsidRDefault="006E7DAB" w:rsidP="00A512A1"/>
        </w:tc>
        <w:tc>
          <w:tcPr>
            <w:tcW w:w="3806" w:type="dxa"/>
            <w:gridSpan w:val="2"/>
            <w:hideMark/>
          </w:tcPr>
          <w:p w:rsidR="006E7DAB" w:rsidRPr="006E7DAB" w:rsidRDefault="006E7DAB" w:rsidP="00A512A1">
            <w:r w:rsidRPr="006E7DAB">
              <w:t>Other Columbia County Programs</w:t>
            </w:r>
          </w:p>
        </w:tc>
        <w:tc>
          <w:tcPr>
            <w:tcW w:w="1440" w:type="dxa"/>
            <w:noWrap/>
            <w:hideMark/>
          </w:tcPr>
          <w:p w:rsidR="006E7DAB" w:rsidRPr="006E7DAB" w:rsidRDefault="006E7DAB" w:rsidP="00A512A1">
            <w:pPr>
              <w:jc w:val="right"/>
            </w:pPr>
            <w:r w:rsidRPr="006E7DAB">
              <w:t xml:space="preserve">30,140 </w:t>
            </w:r>
          </w:p>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r w:rsidR="00A512A1" w:rsidRPr="006E7DAB" w:rsidTr="00A512A1">
        <w:trPr>
          <w:trHeight w:val="315"/>
        </w:trPr>
        <w:tc>
          <w:tcPr>
            <w:tcW w:w="337" w:type="dxa"/>
            <w:hideMark/>
          </w:tcPr>
          <w:p w:rsidR="006E7DAB" w:rsidRPr="006E7DAB" w:rsidRDefault="006E7DAB" w:rsidP="00A512A1"/>
        </w:tc>
        <w:tc>
          <w:tcPr>
            <w:tcW w:w="1257" w:type="dxa"/>
            <w:noWrap/>
            <w:hideMark/>
          </w:tcPr>
          <w:p w:rsidR="006E7DAB" w:rsidRPr="006E7DAB" w:rsidRDefault="006E7DAB" w:rsidP="00A512A1"/>
        </w:tc>
        <w:tc>
          <w:tcPr>
            <w:tcW w:w="3806" w:type="dxa"/>
            <w:gridSpan w:val="2"/>
            <w:hideMark/>
          </w:tcPr>
          <w:p w:rsidR="006E7DAB" w:rsidRPr="006E7DAB" w:rsidRDefault="006E7DAB" w:rsidP="00A512A1">
            <w:r w:rsidRPr="006E7DAB">
              <w:t>Greene County DSS</w:t>
            </w:r>
          </w:p>
        </w:tc>
        <w:tc>
          <w:tcPr>
            <w:tcW w:w="1440" w:type="dxa"/>
            <w:noWrap/>
            <w:hideMark/>
          </w:tcPr>
          <w:p w:rsidR="006E7DAB" w:rsidRPr="006E7DAB" w:rsidRDefault="006E7DAB" w:rsidP="00A512A1">
            <w:pPr>
              <w:jc w:val="right"/>
            </w:pPr>
            <w:r w:rsidRPr="006E7DAB">
              <w:t xml:space="preserve">4,983 </w:t>
            </w:r>
          </w:p>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r w:rsidR="00A512A1" w:rsidRPr="006E7DAB" w:rsidTr="00A512A1">
        <w:trPr>
          <w:trHeight w:val="729"/>
        </w:trPr>
        <w:tc>
          <w:tcPr>
            <w:tcW w:w="337" w:type="dxa"/>
            <w:hideMark/>
          </w:tcPr>
          <w:p w:rsidR="006E7DAB" w:rsidRPr="006E7DAB" w:rsidRDefault="006E7DAB" w:rsidP="00A512A1"/>
        </w:tc>
        <w:tc>
          <w:tcPr>
            <w:tcW w:w="2812" w:type="dxa"/>
            <w:gridSpan w:val="2"/>
            <w:hideMark/>
          </w:tcPr>
          <w:p w:rsidR="006E7DAB" w:rsidRPr="00A512A1" w:rsidRDefault="006E7DAB" w:rsidP="00A512A1">
            <w:pPr>
              <w:rPr>
                <w:b/>
              </w:rPr>
            </w:pPr>
            <w:r w:rsidRPr="00A512A1">
              <w:rPr>
                <w:b/>
              </w:rPr>
              <w:t>Total Grant</w:t>
            </w:r>
            <w:r w:rsidR="00A512A1">
              <w:rPr>
                <w:b/>
              </w:rPr>
              <w:t>s</w:t>
            </w:r>
            <w:r w:rsidRPr="00A512A1">
              <w:rPr>
                <w:b/>
              </w:rPr>
              <w:t xml:space="preserve"> Receivable</w:t>
            </w:r>
          </w:p>
        </w:tc>
        <w:tc>
          <w:tcPr>
            <w:tcW w:w="2251" w:type="dxa"/>
            <w:hideMark/>
          </w:tcPr>
          <w:p w:rsidR="006E7DAB" w:rsidRPr="00A512A1" w:rsidRDefault="00A512A1" w:rsidP="00A512A1">
            <w:pPr>
              <w:rPr>
                <w:b/>
              </w:rPr>
            </w:pPr>
            <w:r w:rsidRPr="006E7DAB">
              <w:drawing>
                <wp:anchor distT="0" distB="0" distL="114300" distR="114300" simplePos="0" relativeHeight="251660288" behindDoc="0" locked="0" layoutInCell="1" allowOverlap="1">
                  <wp:simplePos x="0" y="0"/>
                  <wp:positionH relativeFrom="column">
                    <wp:posOffset>-2106295</wp:posOffset>
                  </wp:positionH>
                  <wp:positionV relativeFrom="paragraph">
                    <wp:posOffset>209550</wp:posOffset>
                  </wp:positionV>
                  <wp:extent cx="6905625" cy="2505075"/>
                  <wp:effectExtent l="0" t="0" r="9525" b="9525"/>
                  <wp:wrapNone/>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c>
          <w:tcPr>
            <w:tcW w:w="1440" w:type="dxa"/>
            <w:hideMark/>
          </w:tcPr>
          <w:p w:rsidR="006E7DAB" w:rsidRPr="00A512A1" w:rsidRDefault="006E7DAB" w:rsidP="00A512A1">
            <w:pPr>
              <w:jc w:val="right"/>
              <w:rPr>
                <w:b/>
              </w:rPr>
            </w:pPr>
            <w:r w:rsidRPr="00A512A1">
              <w:rPr>
                <w:b/>
              </w:rPr>
              <w:t xml:space="preserve">$196,611 </w:t>
            </w:r>
          </w:p>
        </w:tc>
        <w:tc>
          <w:tcPr>
            <w:tcW w:w="1601" w:type="dxa"/>
            <w:hideMark/>
          </w:tcPr>
          <w:p w:rsidR="006E7DAB" w:rsidRPr="006E7DAB" w:rsidRDefault="006E7DAB" w:rsidP="00A512A1"/>
        </w:tc>
        <w:tc>
          <w:tcPr>
            <w:tcW w:w="1228" w:type="dxa"/>
            <w:hideMark/>
          </w:tcPr>
          <w:p w:rsidR="006E7DAB" w:rsidRPr="006E7DAB" w:rsidRDefault="006E7DAB" w:rsidP="00A512A1"/>
        </w:tc>
        <w:tc>
          <w:tcPr>
            <w:tcW w:w="1287" w:type="dxa"/>
            <w:hideMark/>
          </w:tcPr>
          <w:p w:rsidR="006E7DAB" w:rsidRPr="006E7DAB" w:rsidRDefault="006E7DAB" w:rsidP="00A512A1"/>
        </w:tc>
      </w:tr>
    </w:tbl>
    <w:p w:rsidR="00A512A1" w:rsidRDefault="00A512A1">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
        <w:gridCol w:w="1232"/>
        <w:gridCol w:w="2064"/>
        <w:gridCol w:w="1442"/>
        <w:gridCol w:w="1012"/>
        <w:gridCol w:w="2042"/>
        <w:gridCol w:w="1933"/>
        <w:gridCol w:w="850"/>
      </w:tblGrid>
      <w:tr w:rsidR="00A512A1" w:rsidRPr="006E7DAB" w:rsidTr="00A512A1">
        <w:trPr>
          <w:trHeight w:val="80"/>
        </w:trPr>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r>
      <w:tr w:rsidR="006E7DAB" w:rsidRPr="006E7DAB" w:rsidTr="00A512A1">
        <w:trPr>
          <w:trHeight w:val="765"/>
        </w:trPr>
        <w:tc>
          <w:tcPr>
            <w:tcW w:w="0" w:type="auto"/>
            <w:gridSpan w:val="8"/>
            <w:hideMark/>
          </w:tcPr>
          <w:p w:rsidR="006E7DAB" w:rsidRPr="006E7DAB" w:rsidRDefault="006E7DAB" w:rsidP="00A512A1">
            <w:r w:rsidRPr="006E7DAB">
              <w:rPr>
                <w:b/>
                <w:bCs/>
              </w:rPr>
              <w:t>Investment - Infinex Financial-Securities</w:t>
            </w:r>
            <w:r w:rsidRPr="006E7DAB">
              <w:t xml:space="preserve"> - As of October 31, 2017, investment account value of six mutual funds is $164,090. Initial investment was $25K per mutual fund</w:t>
            </w:r>
          </w:p>
        </w:tc>
      </w:tr>
      <w:tr w:rsidR="00A512A1" w:rsidRPr="006E7DAB" w:rsidTr="00A512A1">
        <w:trPr>
          <w:trHeight w:val="345"/>
        </w:trPr>
        <w:tc>
          <w:tcPr>
            <w:tcW w:w="0" w:type="auto"/>
            <w:hideMark/>
          </w:tcPr>
          <w:p w:rsidR="006E7DAB" w:rsidRPr="006E7DAB" w:rsidRDefault="006E7DAB" w:rsidP="00A512A1"/>
        </w:tc>
        <w:tc>
          <w:tcPr>
            <w:tcW w:w="0" w:type="auto"/>
            <w:noWrap/>
            <w:hideMark/>
          </w:tcPr>
          <w:p w:rsidR="006E7DAB" w:rsidRPr="006E7DAB" w:rsidRDefault="006E7DAB" w:rsidP="00A512A1"/>
        </w:tc>
        <w:tc>
          <w:tcPr>
            <w:tcW w:w="0" w:type="auto"/>
            <w:noWrap/>
            <w:hideMark/>
          </w:tcPr>
          <w:p w:rsidR="006E7DAB" w:rsidRPr="006E7DAB" w:rsidRDefault="006E7DAB" w:rsidP="00A512A1">
            <w:r w:rsidRPr="006E7DAB">
              <w:t>Beginning</w:t>
            </w:r>
          </w:p>
        </w:tc>
        <w:tc>
          <w:tcPr>
            <w:tcW w:w="0" w:type="auto"/>
            <w:noWrap/>
            <w:hideMark/>
          </w:tcPr>
          <w:p w:rsidR="006E7DAB" w:rsidRPr="006E7DAB" w:rsidRDefault="006E7DAB" w:rsidP="00A512A1">
            <w:r w:rsidRPr="006E7DAB">
              <w:t>Purchases</w:t>
            </w:r>
          </w:p>
        </w:tc>
        <w:tc>
          <w:tcPr>
            <w:tcW w:w="0" w:type="auto"/>
            <w:noWrap/>
            <w:hideMark/>
          </w:tcPr>
          <w:p w:rsidR="006E7DAB" w:rsidRPr="006E7DAB" w:rsidRDefault="006E7DAB" w:rsidP="00A512A1">
            <w:r w:rsidRPr="006E7DAB">
              <w:t>Income</w:t>
            </w:r>
          </w:p>
        </w:tc>
        <w:tc>
          <w:tcPr>
            <w:tcW w:w="0" w:type="auto"/>
            <w:noWrap/>
            <w:hideMark/>
          </w:tcPr>
          <w:p w:rsidR="006E7DAB" w:rsidRPr="006E7DAB" w:rsidRDefault="006E7DAB" w:rsidP="00A512A1">
            <w:r w:rsidRPr="006E7DAB">
              <w:t>Unrealized Gains</w:t>
            </w:r>
          </w:p>
        </w:tc>
        <w:tc>
          <w:tcPr>
            <w:tcW w:w="0" w:type="auto"/>
            <w:noWrap/>
            <w:hideMark/>
          </w:tcPr>
          <w:p w:rsidR="006E7DAB" w:rsidRPr="006E7DAB" w:rsidRDefault="006E7DAB" w:rsidP="00A512A1">
            <w:r w:rsidRPr="006E7DAB">
              <w:t>Ending Balance</w:t>
            </w:r>
          </w:p>
        </w:tc>
        <w:tc>
          <w:tcPr>
            <w:tcW w:w="0" w:type="auto"/>
            <w:noWrap/>
            <w:hideMark/>
          </w:tcPr>
          <w:p w:rsidR="006E7DAB" w:rsidRPr="006E7DAB" w:rsidRDefault="006E7DAB" w:rsidP="00A512A1"/>
        </w:tc>
      </w:tr>
      <w:tr w:rsidR="00A512A1" w:rsidRPr="006E7DAB" w:rsidTr="00A512A1">
        <w:trPr>
          <w:trHeight w:val="300"/>
        </w:trPr>
        <w:tc>
          <w:tcPr>
            <w:tcW w:w="0" w:type="auto"/>
            <w:hideMark/>
          </w:tcPr>
          <w:p w:rsidR="006E7DAB" w:rsidRPr="006E7DAB" w:rsidRDefault="006E7DAB" w:rsidP="00A512A1"/>
        </w:tc>
        <w:tc>
          <w:tcPr>
            <w:tcW w:w="0" w:type="auto"/>
            <w:tcBorders>
              <w:bottom w:val="single" w:sz="4" w:space="0" w:color="auto"/>
            </w:tcBorders>
            <w:noWrap/>
            <w:hideMark/>
          </w:tcPr>
          <w:p w:rsidR="006E7DAB" w:rsidRPr="006E7DAB" w:rsidRDefault="006E7DAB" w:rsidP="00A512A1">
            <w:r w:rsidRPr="006E7DAB">
              <w:t>Cash</w:t>
            </w:r>
          </w:p>
        </w:tc>
        <w:tc>
          <w:tcPr>
            <w:tcW w:w="0" w:type="auto"/>
            <w:tcBorders>
              <w:bottom w:val="single" w:sz="4" w:space="0" w:color="auto"/>
            </w:tcBorders>
            <w:noWrap/>
            <w:hideMark/>
          </w:tcPr>
          <w:p w:rsidR="006E7DAB" w:rsidRPr="006E7DAB" w:rsidRDefault="006E7DAB" w:rsidP="00A512A1">
            <w:r w:rsidRPr="006E7DAB">
              <w:t>(0)</w:t>
            </w:r>
          </w:p>
        </w:tc>
        <w:tc>
          <w:tcPr>
            <w:tcW w:w="0" w:type="auto"/>
            <w:tcBorders>
              <w:bottom w:val="single" w:sz="4" w:space="0" w:color="auto"/>
            </w:tcBorders>
            <w:noWrap/>
            <w:hideMark/>
          </w:tcPr>
          <w:p w:rsidR="006E7DAB" w:rsidRPr="006E7DAB" w:rsidRDefault="006E7DAB" w:rsidP="00A512A1">
            <w:r w:rsidRPr="006E7DAB">
              <w:t>(2,683)</w:t>
            </w:r>
          </w:p>
        </w:tc>
        <w:tc>
          <w:tcPr>
            <w:tcW w:w="0" w:type="auto"/>
            <w:tcBorders>
              <w:bottom w:val="single" w:sz="4" w:space="0" w:color="auto"/>
            </w:tcBorders>
            <w:noWrap/>
            <w:hideMark/>
          </w:tcPr>
          <w:p w:rsidR="006E7DAB" w:rsidRPr="006E7DAB" w:rsidRDefault="006E7DAB" w:rsidP="00A512A1">
            <w:r w:rsidRPr="006E7DAB">
              <w:t xml:space="preserve">2,683 </w:t>
            </w:r>
          </w:p>
        </w:tc>
        <w:tc>
          <w:tcPr>
            <w:tcW w:w="0" w:type="auto"/>
            <w:tcBorders>
              <w:bottom w:val="single" w:sz="4" w:space="0" w:color="auto"/>
            </w:tcBorders>
            <w:noWrap/>
            <w:hideMark/>
          </w:tcPr>
          <w:p w:rsidR="006E7DAB" w:rsidRPr="006E7DAB" w:rsidRDefault="006E7DAB" w:rsidP="00A512A1">
            <w:r w:rsidRPr="006E7DAB">
              <w:t> </w:t>
            </w:r>
          </w:p>
        </w:tc>
        <w:tc>
          <w:tcPr>
            <w:tcW w:w="0" w:type="auto"/>
            <w:tcBorders>
              <w:bottom w:val="single" w:sz="4" w:space="0" w:color="auto"/>
            </w:tcBorders>
            <w:noWrap/>
            <w:hideMark/>
          </w:tcPr>
          <w:p w:rsidR="006E7DAB" w:rsidRPr="006E7DAB" w:rsidRDefault="006E7DAB" w:rsidP="00A512A1">
            <w:r w:rsidRPr="006E7DAB">
              <w:t>(0)</w:t>
            </w:r>
          </w:p>
        </w:tc>
        <w:tc>
          <w:tcPr>
            <w:tcW w:w="0" w:type="auto"/>
            <w:tcBorders>
              <w:bottom w:val="single" w:sz="4" w:space="0" w:color="auto"/>
            </w:tcBorders>
            <w:noWrap/>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FCISX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26,400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1,038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1,038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929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28,367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FRUGX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24,919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481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481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(415)</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24,985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FRGSX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25,841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0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0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5,709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31,550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FCSCX</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25,202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311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311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(424)</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25,089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FSGCX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25,507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319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319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713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26,539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TEGBX</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26,664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535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535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361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27,560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tc>
      </w:tr>
      <w:tr w:rsidR="00A512A1" w:rsidRPr="006E7DAB" w:rsidTr="00A512A1">
        <w:trPr>
          <w:trHeight w:val="315"/>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154,533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Totals</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6,873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 xml:space="preserve">164,090 </w:t>
            </w:r>
          </w:p>
        </w:tc>
        <w:tc>
          <w:tcPr>
            <w:tcW w:w="0" w:type="auto"/>
            <w:tcBorders>
              <w:top w:val="single" w:sz="4" w:space="0" w:color="auto"/>
              <w:left w:val="single" w:sz="4" w:space="0" w:color="auto"/>
              <w:bottom w:val="single" w:sz="4" w:space="0" w:color="auto"/>
              <w:right w:val="single" w:sz="4" w:space="0" w:color="auto"/>
            </w:tcBorders>
            <w:noWrap/>
            <w:hideMark/>
          </w:tcPr>
          <w:p w:rsidR="006E7DAB" w:rsidRPr="006E7DAB" w:rsidRDefault="006E7DAB" w:rsidP="00A512A1">
            <w:r w:rsidRPr="006E7DAB">
              <w:t>6.18%</w:t>
            </w:r>
          </w:p>
        </w:tc>
      </w:tr>
      <w:tr w:rsidR="00A512A1" w:rsidRPr="006E7DAB" w:rsidTr="00A512A1">
        <w:trPr>
          <w:trHeight w:val="315"/>
        </w:trPr>
        <w:tc>
          <w:tcPr>
            <w:tcW w:w="0" w:type="auto"/>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r>
      <w:tr w:rsidR="00A512A1" w:rsidRPr="006E7DAB" w:rsidTr="00A512A1">
        <w:trPr>
          <w:trHeight w:val="945"/>
        </w:trPr>
        <w:tc>
          <w:tcPr>
            <w:tcW w:w="0" w:type="auto"/>
            <w:hideMark/>
          </w:tcPr>
          <w:p w:rsidR="006E7DAB" w:rsidRPr="006E7DAB" w:rsidRDefault="006E7DAB" w:rsidP="00A512A1"/>
        </w:tc>
        <w:tc>
          <w:tcPr>
            <w:tcW w:w="0" w:type="auto"/>
            <w:gridSpan w:val="6"/>
            <w:hideMark/>
          </w:tcPr>
          <w:p w:rsidR="006E7DAB" w:rsidRPr="006E7DAB" w:rsidRDefault="006E7DAB" w:rsidP="00A512A1">
            <w:r w:rsidRPr="006E7DAB">
              <w:rPr>
                <w:b/>
                <w:bCs/>
              </w:rPr>
              <w:t>TEGBX</w:t>
            </w:r>
            <w:r w:rsidRPr="006E7DAB">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c>
          <w:tcPr>
            <w:tcW w:w="0" w:type="auto"/>
            <w:hideMark/>
          </w:tcPr>
          <w:p w:rsidR="006E7DAB" w:rsidRPr="006E7DAB" w:rsidRDefault="006E7DAB" w:rsidP="00A512A1"/>
        </w:tc>
      </w:tr>
      <w:tr w:rsidR="00A512A1" w:rsidRPr="006E7DAB" w:rsidTr="00A512A1">
        <w:trPr>
          <w:trHeight w:val="945"/>
        </w:trPr>
        <w:tc>
          <w:tcPr>
            <w:tcW w:w="0" w:type="auto"/>
            <w:hideMark/>
          </w:tcPr>
          <w:p w:rsidR="006E7DAB" w:rsidRPr="006E7DAB" w:rsidRDefault="006E7DAB" w:rsidP="00A512A1"/>
        </w:tc>
        <w:tc>
          <w:tcPr>
            <w:tcW w:w="0" w:type="auto"/>
            <w:gridSpan w:val="6"/>
            <w:hideMark/>
          </w:tcPr>
          <w:p w:rsidR="006E7DAB" w:rsidRPr="006E7DAB" w:rsidRDefault="006E7DAB" w:rsidP="00A512A1">
            <w:r w:rsidRPr="006E7DAB">
              <w:rPr>
                <w:b/>
                <w:bCs/>
              </w:rPr>
              <w:t>FSGCX</w:t>
            </w:r>
            <w:r w:rsidRPr="006E7DAB">
              <w:t>-Franklin Templeton Strategic Income Fund Class C - Strategy: The Fund seeks to earn a high level of current income. Its secondary goal is capital appreciation over the long term. The Fund invests at least 65% of its assets in U.S. and foreign debt securities.</w:t>
            </w:r>
          </w:p>
        </w:tc>
        <w:tc>
          <w:tcPr>
            <w:tcW w:w="0" w:type="auto"/>
            <w:hideMark/>
          </w:tcPr>
          <w:p w:rsidR="006E7DAB" w:rsidRPr="006E7DAB" w:rsidRDefault="006E7DAB" w:rsidP="00A512A1"/>
        </w:tc>
      </w:tr>
      <w:tr w:rsidR="00A512A1" w:rsidRPr="006E7DAB" w:rsidTr="00A512A1">
        <w:trPr>
          <w:trHeight w:val="945"/>
        </w:trPr>
        <w:tc>
          <w:tcPr>
            <w:tcW w:w="0" w:type="auto"/>
            <w:hideMark/>
          </w:tcPr>
          <w:p w:rsidR="006E7DAB" w:rsidRPr="006E7DAB" w:rsidRDefault="006E7DAB" w:rsidP="00A512A1"/>
        </w:tc>
        <w:tc>
          <w:tcPr>
            <w:tcW w:w="0" w:type="auto"/>
            <w:gridSpan w:val="6"/>
            <w:hideMark/>
          </w:tcPr>
          <w:p w:rsidR="006E7DAB" w:rsidRPr="006E7DAB" w:rsidRDefault="006E7DAB" w:rsidP="00A512A1">
            <w:r w:rsidRPr="006E7DAB">
              <w:rPr>
                <w:b/>
                <w:bCs/>
              </w:rPr>
              <w:t>FCSCX</w:t>
            </w:r>
            <w:r w:rsidRPr="006E7DAB">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c>
          <w:tcPr>
            <w:tcW w:w="0" w:type="auto"/>
            <w:hideMark/>
          </w:tcPr>
          <w:p w:rsidR="006E7DAB" w:rsidRPr="006E7DAB" w:rsidRDefault="006E7DAB" w:rsidP="00A512A1"/>
        </w:tc>
      </w:tr>
      <w:tr w:rsidR="00A512A1" w:rsidRPr="006E7DAB" w:rsidTr="00A512A1">
        <w:trPr>
          <w:trHeight w:val="945"/>
        </w:trPr>
        <w:tc>
          <w:tcPr>
            <w:tcW w:w="0" w:type="auto"/>
            <w:hideMark/>
          </w:tcPr>
          <w:p w:rsidR="006E7DAB" w:rsidRPr="006E7DAB" w:rsidRDefault="006E7DAB" w:rsidP="00A512A1"/>
        </w:tc>
        <w:tc>
          <w:tcPr>
            <w:tcW w:w="0" w:type="auto"/>
            <w:gridSpan w:val="6"/>
            <w:hideMark/>
          </w:tcPr>
          <w:p w:rsidR="006E7DAB" w:rsidRPr="006E7DAB" w:rsidRDefault="006E7DAB" w:rsidP="00A512A1">
            <w:r w:rsidRPr="006E7DAB">
              <w:rPr>
                <w:b/>
                <w:bCs/>
              </w:rPr>
              <w:t>FRGSX</w:t>
            </w:r>
            <w:r w:rsidRPr="006E7DAB">
              <w:t>-Franklin Growth Series Class C- Strategy: The Fund seeks capital appreciation. The Fund primarily invests in equity securities that are leaders in their industries.</w:t>
            </w:r>
          </w:p>
        </w:tc>
        <w:tc>
          <w:tcPr>
            <w:tcW w:w="0" w:type="auto"/>
            <w:hideMark/>
          </w:tcPr>
          <w:p w:rsidR="006E7DAB" w:rsidRPr="006E7DAB" w:rsidRDefault="006E7DAB" w:rsidP="00A512A1"/>
        </w:tc>
      </w:tr>
      <w:tr w:rsidR="00A512A1" w:rsidRPr="006E7DAB" w:rsidTr="00A512A1">
        <w:trPr>
          <w:trHeight w:val="945"/>
        </w:trPr>
        <w:tc>
          <w:tcPr>
            <w:tcW w:w="0" w:type="auto"/>
            <w:hideMark/>
          </w:tcPr>
          <w:p w:rsidR="006E7DAB" w:rsidRPr="006E7DAB" w:rsidRDefault="006E7DAB" w:rsidP="00A512A1"/>
        </w:tc>
        <w:tc>
          <w:tcPr>
            <w:tcW w:w="0" w:type="auto"/>
            <w:gridSpan w:val="6"/>
            <w:hideMark/>
          </w:tcPr>
          <w:p w:rsidR="006E7DAB" w:rsidRPr="006E7DAB" w:rsidRDefault="006E7DAB" w:rsidP="00A512A1">
            <w:r w:rsidRPr="006E7DAB">
              <w:rPr>
                <w:b/>
                <w:bCs/>
              </w:rPr>
              <w:t>FRUGX</w:t>
            </w:r>
            <w:r w:rsidRPr="006E7DAB">
              <w:t>-Franklin US Government Securities Series Class C- Strategy: The Fund seeks income. Under normal market conditions, the Fund invests at least 80% of its net assets in U.S. government securities. The Fund presently invests substantially all of its assets in Government National Mortgage Association obligations (Ginnie Maes).</w:t>
            </w:r>
          </w:p>
        </w:tc>
        <w:tc>
          <w:tcPr>
            <w:tcW w:w="0" w:type="auto"/>
            <w:hideMark/>
          </w:tcPr>
          <w:p w:rsidR="006E7DAB" w:rsidRPr="006E7DAB" w:rsidRDefault="006E7DAB" w:rsidP="00A512A1"/>
        </w:tc>
      </w:tr>
      <w:tr w:rsidR="00A512A1" w:rsidRPr="006E7DAB" w:rsidTr="00A512A1">
        <w:trPr>
          <w:trHeight w:val="945"/>
        </w:trPr>
        <w:tc>
          <w:tcPr>
            <w:tcW w:w="0" w:type="auto"/>
            <w:hideMark/>
          </w:tcPr>
          <w:p w:rsidR="006E7DAB" w:rsidRPr="006E7DAB" w:rsidRDefault="006E7DAB" w:rsidP="00A512A1"/>
        </w:tc>
        <w:tc>
          <w:tcPr>
            <w:tcW w:w="0" w:type="auto"/>
            <w:gridSpan w:val="6"/>
            <w:hideMark/>
          </w:tcPr>
          <w:p w:rsidR="006E7DAB" w:rsidRPr="006E7DAB" w:rsidRDefault="006E7DAB" w:rsidP="00A512A1">
            <w:r w:rsidRPr="006E7DAB">
              <w:rPr>
                <w:b/>
                <w:bCs/>
              </w:rPr>
              <w:t>FCISX</w:t>
            </w:r>
            <w:r w:rsidRPr="006E7DAB">
              <w:t xml:space="preserve">-Franklin Income Series Class C- Strategy: The Fund seeks to maximize income while maintaining prospects for capital appreciation. The Fund will achieve this by investing in a diversified portfolio of debt and equity securities. </w:t>
            </w:r>
          </w:p>
        </w:tc>
        <w:tc>
          <w:tcPr>
            <w:tcW w:w="0" w:type="auto"/>
            <w:hideMark/>
          </w:tcPr>
          <w:p w:rsidR="006E7DAB" w:rsidRPr="006E7DAB" w:rsidRDefault="006E7DAB" w:rsidP="00A512A1"/>
        </w:tc>
      </w:tr>
      <w:tr w:rsidR="00A512A1" w:rsidRPr="006E7DAB" w:rsidTr="00A512A1">
        <w:trPr>
          <w:trHeight w:val="150"/>
        </w:trPr>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r>
      <w:tr w:rsidR="006E7DAB" w:rsidRPr="006E7DAB" w:rsidTr="00A512A1">
        <w:trPr>
          <w:trHeight w:val="510"/>
        </w:trPr>
        <w:tc>
          <w:tcPr>
            <w:tcW w:w="0" w:type="auto"/>
            <w:gridSpan w:val="8"/>
            <w:hideMark/>
          </w:tcPr>
          <w:p w:rsidR="006E7DAB" w:rsidRPr="006E7DAB" w:rsidRDefault="006E7DAB" w:rsidP="00A512A1">
            <w:r w:rsidRPr="006E7DAB">
              <w:rPr>
                <w:b/>
                <w:bCs/>
              </w:rPr>
              <w:t>Equipment, Furniture &amp; Vehicles</w:t>
            </w:r>
            <w:r w:rsidRPr="006E7DAB">
              <w:t xml:space="preserve"> -Agency purchased and sold the following capital equipment. </w:t>
            </w:r>
          </w:p>
        </w:tc>
      </w:tr>
      <w:tr w:rsidR="00A512A1" w:rsidRPr="006E7DAB" w:rsidTr="00A512A1">
        <w:trPr>
          <w:trHeight w:val="300"/>
        </w:trPr>
        <w:tc>
          <w:tcPr>
            <w:tcW w:w="0" w:type="auto"/>
            <w:hideMark/>
          </w:tcPr>
          <w:p w:rsidR="006E7DAB" w:rsidRPr="006E7DAB" w:rsidRDefault="006E7DAB" w:rsidP="00A512A1"/>
        </w:tc>
        <w:tc>
          <w:tcPr>
            <w:tcW w:w="0" w:type="auto"/>
            <w:tcBorders>
              <w:bottom w:val="single" w:sz="4" w:space="0" w:color="auto"/>
            </w:tcBorders>
            <w:hideMark/>
          </w:tcPr>
          <w:p w:rsidR="006E7DAB" w:rsidRPr="006E7DAB" w:rsidRDefault="006E7DAB" w:rsidP="00A512A1">
            <w:pPr>
              <w:rPr>
                <w:b/>
                <w:bCs/>
              </w:rPr>
            </w:pPr>
            <w:r w:rsidRPr="006E7DAB">
              <w:rPr>
                <w:b/>
                <w:bCs/>
              </w:rPr>
              <w:t>Month in Service</w:t>
            </w:r>
          </w:p>
        </w:tc>
        <w:tc>
          <w:tcPr>
            <w:tcW w:w="0" w:type="auto"/>
            <w:tcBorders>
              <w:bottom w:val="single" w:sz="4" w:space="0" w:color="auto"/>
            </w:tcBorders>
            <w:noWrap/>
            <w:hideMark/>
          </w:tcPr>
          <w:p w:rsidR="006E7DAB" w:rsidRPr="006E7DAB" w:rsidRDefault="006E7DAB" w:rsidP="00A512A1">
            <w:pPr>
              <w:rPr>
                <w:b/>
                <w:bCs/>
              </w:rPr>
            </w:pPr>
            <w:r w:rsidRPr="006E7DAB">
              <w:rPr>
                <w:b/>
                <w:bCs/>
              </w:rPr>
              <w:t>Funding Source</w:t>
            </w:r>
          </w:p>
        </w:tc>
        <w:tc>
          <w:tcPr>
            <w:tcW w:w="0" w:type="auto"/>
            <w:tcBorders>
              <w:bottom w:val="single" w:sz="4" w:space="0" w:color="auto"/>
            </w:tcBorders>
            <w:hideMark/>
          </w:tcPr>
          <w:p w:rsidR="006E7DAB" w:rsidRPr="006E7DAB" w:rsidRDefault="006E7DAB" w:rsidP="00A512A1">
            <w:pPr>
              <w:rPr>
                <w:b/>
                <w:bCs/>
              </w:rPr>
            </w:pPr>
            <w:r w:rsidRPr="006E7DAB">
              <w:rPr>
                <w:b/>
                <w:bCs/>
              </w:rPr>
              <w:t>Supplier</w:t>
            </w:r>
          </w:p>
        </w:tc>
        <w:tc>
          <w:tcPr>
            <w:tcW w:w="0" w:type="auto"/>
            <w:gridSpan w:val="2"/>
            <w:tcBorders>
              <w:bottom w:val="single" w:sz="4" w:space="0" w:color="auto"/>
            </w:tcBorders>
            <w:hideMark/>
          </w:tcPr>
          <w:p w:rsidR="006E7DAB" w:rsidRPr="006E7DAB" w:rsidRDefault="006E7DAB" w:rsidP="00A512A1">
            <w:pPr>
              <w:rPr>
                <w:b/>
                <w:bCs/>
              </w:rPr>
            </w:pPr>
            <w:r w:rsidRPr="006E7DAB">
              <w:rPr>
                <w:b/>
                <w:bCs/>
              </w:rPr>
              <w:t>Description</w:t>
            </w:r>
          </w:p>
        </w:tc>
        <w:tc>
          <w:tcPr>
            <w:tcW w:w="0" w:type="auto"/>
            <w:tcBorders>
              <w:bottom w:val="single" w:sz="4" w:space="0" w:color="auto"/>
            </w:tcBorders>
            <w:hideMark/>
          </w:tcPr>
          <w:p w:rsidR="006E7DAB" w:rsidRPr="006E7DAB" w:rsidRDefault="006E7DAB" w:rsidP="00A512A1">
            <w:pPr>
              <w:rPr>
                <w:b/>
                <w:bCs/>
              </w:rPr>
            </w:pPr>
            <w:r w:rsidRPr="006E7DAB">
              <w:rPr>
                <w:b/>
                <w:bCs/>
              </w:rPr>
              <w:t>Cost</w:t>
            </w:r>
          </w:p>
        </w:tc>
        <w:tc>
          <w:tcPr>
            <w:tcW w:w="0" w:type="auto"/>
            <w:hideMark/>
          </w:tcPr>
          <w:p w:rsidR="006E7DAB" w:rsidRPr="006E7DAB" w:rsidRDefault="006E7DAB" w:rsidP="00A512A1">
            <w:pPr>
              <w:rPr>
                <w:b/>
                <w:bCs/>
              </w:rPr>
            </w:pPr>
          </w:p>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May-17</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Agency</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 xml:space="preserve">Columbia County </w:t>
            </w:r>
          </w:p>
        </w:tc>
        <w:tc>
          <w:tcPr>
            <w:tcW w:w="0" w:type="auto"/>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2010 Ford Van</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A512A1" w:rsidP="00A512A1">
            <w:pPr>
              <w:jc w:val="right"/>
            </w:pPr>
            <w:r>
              <w:t xml:space="preserve"> $</w:t>
            </w:r>
            <w:r w:rsidR="006E7DAB" w:rsidRPr="006E7DAB">
              <w:t xml:space="preserve">5,995 </w:t>
            </w:r>
          </w:p>
        </w:tc>
        <w:tc>
          <w:tcPr>
            <w:tcW w:w="0" w:type="auto"/>
            <w:tcBorders>
              <w:left w:val="single" w:sz="4" w:space="0" w:color="auto"/>
            </w:tcBorders>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May-17</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Agency</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 xml:space="preserve">Central Dodge </w:t>
            </w:r>
          </w:p>
        </w:tc>
        <w:tc>
          <w:tcPr>
            <w:tcW w:w="0" w:type="auto"/>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2017 Dodge Caravan</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w:t>
            </w:r>
            <w:r w:rsidR="00A512A1">
              <w:t>$</w:t>
            </w:r>
            <w:r w:rsidRPr="006E7DAB">
              <w:t xml:space="preserve">21,427 </w:t>
            </w:r>
          </w:p>
        </w:tc>
        <w:tc>
          <w:tcPr>
            <w:tcW w:w="0" w:type="auto"/>
            <w:tcBorders>
              <w:left w:val="single" w:sz="4" w:space="0" w:color="auto"/>
            </w:tcBorders>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May-17</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Agency</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 xml:space="preserve">Henderson Ford </w:t>
            </w:r>
          </w:p>
        </w:tc>
        <w:tc>
          <w:tcPr>
            <w:tcW w:w="0" w:type="auto"/>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2017 Ford Taurus</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w:t>
            </w:r>
            <w:r w:rsidR="00A512A1">
              <w:t>$</w:t>
            </w:r>
            <w:r w:rsidRPr="006E7DAB">
              <w:t xml:space="preserve">21,625 </w:t>
            </w:r>
          </w:p>
        </w:tc>
        <w:tc>
          <w:tcPr>
            <w:tcW w:w="0" w:type="auto"/>
            <w:tcBorders>
              <w:left w:val="single" w:sz="4" w:space="0" w:color="auto"/>
            </w:tcBorders>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A512A1" w:rsidRDefault="006E7DAB" w:rsidP="00A512A1">
            <w:pPr>
              <w:jc w:val="right"/>
              <w:rPr>
                <w:b/>
              </w:rPr>
            </w:pPr>
            <w:r w:rsidRPr="00A512A1">
              <w:rPr>
                <w:b/>
              </w:rPr>
              <w:t>Total</w:t>
            </w:r>
          </w:p>
        </w:tc>
        <w:tc>
          <w:tcPr>
            <w:tcW w:w="0" w:type="auto"/>
            <w:tcBorders>
              <w:top w:val="single" w:sz="4" w:space="0" w:color="auto"/>
              <w:left w:val="single" w:sz="4" w:space="0" w:color="auto"/>
              <w:bottom w:val="single" w:sz="4" w:space="0" w:color="auto"/>
              <w:right w:val="single" w:sz="4" w:space="0" w:color="auto"/>
            </w:tcBorders>
            <w:hideMark/>
          </w:tcPr>
          <w:p w:rsidR="006E7DAB" w:rsidRPr="00A512A1" w:rsidRDefault="00A512A1" w:rsidP="00A512A1">
            <w:pPr>
              <w:jc w:val="right"/>
              <w:rPr>
                <w:b/>
              </w:rPr>
            </w:pPr>
            <w:r w:rsidRPr="00A512A1">
              <w:rPr>
                <w:b/>
              </w:rPr>
              <w:t xml:space="preserve"> $</w:t>
            </w:r>
            <w:r w:rsidR="006E7DAB" w:rsidRPr="00A512A1">
              <w:rPr>
                <w:b/>
              </w:rPr>
              <w:t xml:space="preserve">49,047 </w:t>
            </w:r>
          </w:p>
        </w:tc>
        <w:tc>
          <w:tcPr>
            <w:tcW w:w="0" w:type="auto"/>
            <w:tcBorders>
              <w:left w:val="single" w:sz="4" w:space="0" w:color="auto"/>
            </w:tcBorders>
            <w:hideMark/>
          </w:tcPr>
          <w:p w:rsidR="006E7DAB" w:rsidRPr="006E7DAB" w:rsidRDefault="006E7DAB" w:rsidP="00A512A1"/>
        </w:tc>
      </w:tr>
      <w:tr w:rsidR="00A512A1" w:rsidRPr="006E7DAB" w:rsidTr="00A512A1">
        <w:trPr>
          <w:trHeight w:val="300"/>
        </w:trPr>
        <w:tc>
          <w:tcPr>
            <w:tcW w:w="0" w:type="auto"/>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hideMark/>
          </w:tcPr>
          <w:p w:rsidR="006E7DAB" w:rsidRPr="006E7DAB" w:rsidRDefault="006E7DAB" w:rsidP="00A512A1"/>
        </w:tc>
      </w:tr>
      <w:tr w:rsidR="00A512A1" w:rsidRPr="006E7DAB" w:rsidTr="00A512A1">
        <w:trPr>
          <w:trHeight w:val="300"/>
        </w:trPr>
        <w:tc>
          <w:tcPr>
            <w:tcW w:w="0" w:type="auto"/>
            <w:hideMark/>
          </w:tcPr>
          <w:p w:rsidR="006E7DAB" w:rsidRPr="006E7DAB" w:rsidRDefault="006E7DAB" w:rsidP="00A512A1"/>
        </w:tc>
        <w:tc>
          <w:tcPr>
            <w:tcW w:w="0" w:type="auto"/>
            <w:tcBorders>
              <w:bottom w:val="single" w:sz="4" w:space="0" w:color="auto"/>
            </w:tcBorders>
            <w:hideMark/>
          </w:tcPr>
          <w:p w:rsidR="006E7DAB" w:rsidRPr="006E7DAB" w:rsidRDefault="006E7DAB" w:rsidP="00A512A1">
            <w:pPr>
              <w:rPr>
                <w:b/>
                <w:bCs/>
              </w:rPr>
            </w:pPr>
            <w:r w:rsidRPr="006E7DAB">
              <w:rPr>
                <w:b/>
                <w:bCs/>
              </w:rPr>
              <w:t>Sold in Month</w:t>
            </w:r>
          </w:p>
        </w:tc>
        <w:tc>
          <w:tcPr>
            <w:tcW w:w="0" w:type="auto"/>
            <w:tcBorders>
              <w:bottom w:val="single" w:sz="4" w:space="0" w:color="auto"/>
            </w:tcBorders>
            <w:hideMark/>
          </w:tcPr>
          <w:p w:rsidR="006E7DAB" w:rsidRPr="006E7DAB" w:rsidRDefault="006E7DAB" w:rsidP="00A512A1">
            <w:pPr>
              <w:rPr>
                <w:b/>
                <w:bCs/>
              </w:rPr>
            </w:pPr>
            <w:r w:rsidRPr="006E7DAB">
              <w:rPr>
                <w:b/>
                <w:bCs/>
              </w:rPr>
              <w:t>Sold thru</w:t>
            </w:r>
          </w:p>
        </w:tc>
        <w:tc>
          <w:tcPr>
            <w:tcW w:w="0" w:type="auto"/>
            <w:tcBorders>
              <w:bottom w:val="single" w:sz="4" w:space="0" w:color="auto"/>
            </w:tcBorders>
            <w:hideMark/>
          </w:tcPr>
          <w:p w:rsidR="006E7DAB" w:rsidRPr="006E7DAB" w:rsidRDefault="006E7DAB" w:rsidP="00A512A1">
            <w:pPr>
              <w:rPr>
                <w:b/>
                <w:bCs/>
              </w:rPr>
            </w:pPr>
            <w:r w:rsidRPr="006E7DAB">
              <w:rPr>
                <w:b/>
                <w:bCs/>
              </w:rPr>
              <w:t xml:space="preserve"> Mileage </w:t>
            </w:r>
          </w:p>
        </w:tc>
        <w:tc>
          <w:tcPr>
            <w:tcW w:w="0" w:type="auto"/>
            <w:gridSpan w:val="2"/>
            <w:tcBorders>
              <w:bottom w:val="single" w:sz="4" w:space="0" w:color="auto"/>
            </w:tcBorders>
            <w:hideMark/>
          </w:tcPr>
          <w:p w:rsidR="006E7DAB" w:rsidRPr="006E7DAB" w:rsidRDefault="006E7DAB" w:rsidP="00A512A1">
            <w:pPr>
              <w:rPr>
                <w:b/>
                <w:bCs/>
              </w:rPr>
            </w:pPr>
            <w:r w:rsidRPr="006E7DAB">
              <w:rPr>
                <w:b/>
                <w:bCs/>
              </w:rPr>
              <w:t>Description</w:t>
            </w:r>
          </w:p>
        </w:tc>
        <w:tc>
          <w:tcPr>
            <w:tcW w:w="0" w:type="auto"/>
            <w:tcBorders>
              <w:bottom w:val="single" w:sz="4" w:space="0" w:color="auto"/>
            </w:tcBorders>
            <w:hideMark/>
          </w:tcPr>
          <w:p w:rsidR="006E7DAB" w:rsidRPr="006E7DAB" w:rsidRDefault="006E7DAB" w:rsidP="00A512A1">
            <w:pPr>
              <w:rPr>
                <w:b/>
                <w:bCs/>
              </w:rPr>
            </w:pPr>
            <w:r w:rsidRPr="006E7DAB">
              <w:rPr>
                <w:b/>
                <w:bCs/>
              </w:rPr>
              <w:t xml:space="preserve"> Revenue </w:t>
            </w:r>
          </w:p>
        </w:tc>
        <w:tc>
          <w:tcPr>
            <w:tcW w:w="0" w:type="auto"/>
            <w:hideMark/>
          </w:tcPr>
          <w:p w:rsidR="006E7DAB" w:rsidRPr="006E7DAB" w:rsidRDefault="006E7DAB" w:rsidP="00A512A1">
            <w:pPr>
              <w:rPr>
                <w:b/>
                <w:bCs/>
              </w:rPr>
            </w:pPr>
          </w:p>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Jul-17</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Auctions International</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 xml:space="preserve"> 144.9K </w:t>
            </w:r>
          </w:p>
        </w:tc>
        <w:tc>
          <w:tcPr>
            <w:tcW w:w="0" w:type="auto"/>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 xml:space="preserve">2010 Chevy Impala </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w:t>
            </w:r>
            <w:r w:rsidR="00A512A1">
              <w:t>$</w:t>
            </w:r>
            <w:r w:rsidRPr="006E7DAB">
              <w:t xml:space="preserve">1,825 </w:t>
            </w:r>
          </w:p>
        </w:tc>
        <w:tc>
          <w:tcPr>
            <w:tcW w:w="0" w:type="auto"/>
            <w:tcBorders>
              <w:left w:val="single" w:sz="4" w:space="0" w:color="auto"/>
            </w:tcBorders>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Aug-17</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Auctions International</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 xml:space="preserve"> 158.3K </w:t>
            </w:r>
          </w:p>
        </w:tc>
        <w:tc>
          <w:tcPr>
            <w:tcW w:w="0" w:type="auto"/>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2010 Dodge Caravan</w:t>
            </w:r>
          </w:p>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w:t>
            </w:r>
            <w:r w:rsidR="00A512A1">
              <w:t>$</w:t>
            </w:r>
            <w:r w:rsidRPr="006E7DAB">
              <w:t xml:space="preserve">3,350 </w:t>
            </w:r>
          </w:p>
        </w:tc>
        <w:tc>
          <w:tcPr>
            <w:tcW w:w="0" w:type="auto"/>
            <w:tcBorders>
              <w:left w:val="single" w:sz="4" w:space="0" w:color="auto"/>
            </w:tcBorders>
            <w:hideMark/>
          </w:tcPr>
          <w:p w:rsidR="006E7DAB" w:rsidRPr="006E7DAB" w:rsidRDefault="006E7DAB" w:rsidP="00A512A1"/>
        </w:tc>
      </w:tr>
      <w:tr w:rsidR="00A512A1" w:rsidRPr="006E7DAB" w:rsidTr="00A512A1">
        <w:trPr>
          <w:trHeight w:val="300"/>
        </w:trPr>
        <w:tc>
          <w:tcPr>
            <w:tcW w:w="0" w:type="auto"/>
            <w:tcBorders>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tc>
        <w:tc>
          <w:tcPr>
            <w:tcW w:w="0" w:type="auto"/>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0" w:type="auto"/>
            <w:tcBorders>
              <w:top w:val="single" w:sz="4" w:space="0" w:color="auto"/>
              <w:left w:val="single" w:sz="4" w:space="0" w:color="auto"/>
              <w:bottom w:val="single" w:sz="4" w:space="0" w:color="auto"/>
              <w:right w:val="single" w:sz="4" w:space="0" w:color="auto"/>
            </w:tcBorders>
            <w:hideMark/>
          </w:tcPr>
          <w:p w:rsidR="006E7DAB" w:rsidRPr="00A512A1" w:rsidRDefault="006E7DAB" w:rsidP="00A512A1">
            <w:pPr>
              <w:jc w:val="right"/>
              <w:rPr>
                <w:b/>
              </w:rPr>
            </w:pPr>
            <w:r w:rsidRPr="00A512A1">
              <w:rPr>
                <w:b/>
              </w:rPr>
              <w:t>Total</w:t>
            </w:r>
          </w:p>
        </w:tc>
        <w:tc>
          <w:tcPr>
            <w:tcW w:w="0" w:type="auto"/>
            <w:tcBorders>
              <w:top w:val="single" w:sz="4" w:space="0" w:color="auto"/>
              <w:left w:val="single" w:sz="4" w:space="0" w:color="auto"/>
              <w:bottom w:val="single" w:sz="4" w:space="0" w:color="auto"/>
              <w:right w:val="single" w:sz="4" w:space="0" w:color="auto"/>
            </w:tcBorders>
            <w:hideMark/>
          </w:tcPr>
          <w:p w:rsidR="006E7DAB" w:rsidRPr="00A512A1" w:rsidRDefault="00A512A1" w:rsidP="00A512A1">
            <w:pPr>
              <w:jc w:val="right"/>
              <w:rPr>
                <w:b/>
              </w:rPr>
            </w:pPr>
            <w:r w:rsidRPr="00A512A1">
              <w:rPr>
                <w:b/>
              </w:rPr>
              <w:t xml:space="preserve"> $</w:t>
            </w:r>
            <w:r w:rsidR="006E7DAB" w:rsidRPr="00A512A1">
              <w:rPr>
                <w:b/>
              </w:rPr>
              <w:t xml:space="preserve">5,175 </w:t>
            </w:r>
          </w:p>
        </w:tc>
        <w:tc>
          <w:tcPr>
            <w:tcW w:w="0" w:type="auto"/>
            <w:tcBorders>
              <w:left w:val="single" w:sz="4" w:space="0" w:color="auto"/>
            </w:tcBorders>
            <w:hideMark/>
          </w:tcPr>
          <w:p w:rsidR="006E7DAB" w:rsidRPr="00A512A1" w:rsidRDefault="006E7DAB" w:rsidP="00A512A1">
            <w:pPr>
              <w:rPr>
                <w:b/>
              </w:rPr>
            </w:pPr>
          </w:p>
        </w:tc>
      </w:tr>
      <w:tr w:rsidR="00A512A1" w:rsidRPr="006E7DAB" w:rsidTr="00A512A1">
        <w:trPr>
          <w:trHeight w:val="225"/>
        </w:trPr>
        <w:tc>
          <w:tcPr>
            <w:tcW w:w="0" w:type="auto"/>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tcBorders>
              <w:top w:val="single" w:sz="4" w:space="0" w:color="auto"/>
            </w:tcBorders>
            <w:hideMark/>
          </w:tcPr>
          <w:p w:rsidR="006E7DAB" w:rsidRPr="006E7DAB" w:rsidRDefault="006E7DAB" w:rsidP="00A512A1"/>
        </w:tc>
        <w:tc>
          <w:tcPr>
            <w:tcW w:w="0" w:type="auto"/>
            <w:hideMark/>
          </w:tcPr>
          <w:p w:rsidR="006E7DAB" w:rsidRPr="006E7DAB" w:rsidRDefault="006E7DAB" w:rsidP="00A512A1"/>
        </w:tc>
      </w:tr>
      <w:tr w:rsidR="006E7DAB" w:rsidRPr="006E7DAB" w:rsidTr="00A512A1">
        <w:trPr>
          <w:trHeight w:val="750"/>
        </w:trPr>
        <w:tc>
          <w:tcPr>
            <w:tcW w:w="0" w:type="auto"/>
            <w:gridSpan w:val="8"/>
            <w:hideMark/>
          </w:tcPr>
          <w:p w:rsidR="00A512A1" w:rsidRDefault="00A512A1" w:rsidP="00A512A1">
            <w:pPr>
              <w:rPr>
                <w:b/>
                <w:bCs/>
              </w:rPr>
            </w:pPr>
          </w:p>
          <w:p w:rsidR="006E7DAB" w:rsidRPr="006E7DAB" w:rsidRDefault="006E7DAB" w:rsidP="00A512A1">
            <w:r w:rsidRPr="006E7DAB">
              <w:rPr>
                <w:b/>
                <w:bCs/>
              </w:rPr>
              <w:t xml:space="preserve">Accounts Payable - </w:t>
            </w:r>
            <w:r w:rsidRPr="006E7DAB">
              <w:t xml:space="preserve">At October 31, 2017, accounts payable lability is $11,358 and all AP liability is being paid timely within 28 days except CSP Clinical Services which gets paid once NYS pays CCCHC. </w:t>
            </w:r>
          </w:p>
        </w:tc>
      </w:tr>
      <w:tr w:rsidR="00A512A1" w:rsidRPr="006E7DAB" w:rsidTr="00A512A1">
        <w:trPr>
          <w:trHeight w:val="315"/>
        </w:trPr>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r>
      <w:tr w:rsidR="006E7DAB" w:rsidRPr="006E7DAB" w:rsidTr="00A512A1">
        <w:trPr>
          <w:trHeight w:val="660"/>
        </w:trPr>
        <w:tc>
          <w:tcPr>
            <w:tcW w:w="0" w:type="auto"/>
            <w:gridSpan w:val="8"/>
            <w:hideMark/>
          </w:tcPr>
          <w:p w:rsidR="006E7DAB" w:rsidRPr="006E7DAB" w:rsidRDefault="006E7DAB" w:rsidP="00A512A1">
            <w:r w:rsidRPr="006E7DAB">
              <w:rPr>
                <w:b/>
                <w:bCs/>
              </w:rPr>
              <w:t>Line of Credit</w:t>
            </w:r>
            <w:r w:rsidRPr="006E7DAB">
              <w:t xml:space="preserve"> - Received notification from The Bank of Greene County. Bank renewed our $100,000 line for another twelve months until August 1, 2018.</w:t>
            </w:r>
          </w:p>
        </w:tc>
      </w:tr>
      <w:tr w:rsidR="00A512A1" w:rsidRPr="006E7DAB" w:rsidTr="00A512A1">
        <w:trPr>
          <w:trHeight w:val="315"/>
        </w:trPr>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c>
          <w:tcPr>
            <w:tcW w:w="0" w:type="auto"/>
            <w:hideMark/>
          </w:tcPr>
          <w:p w:rsidR="006E7DAB" w:rsidRPr="006E7DAB" w:rsidRDefault="006E7DAB" w:rsidP="00A512A1"/>
        </w:tc>
      </w:tr>
      <w:tr w:rsidR="006E7DAB" w:rsidRPr="006E7DAB" w:rsidTr="00A512A1">
        <w:trPr>
          <w:trHeight w:val="1950"/>
        </w:trPr>
        <w:tc>
          <w:tcPr>
            <w:tcW w:w="0" w:type="auto"/>
            <w:gridSpan w:val="8"/>
            <w:hideMark/>
          </w:tcPr>
          <w:p w:rsidR="006E7DAB" w:rsidRPr="006E7DAB" w:rsidRDefault="006E7DAB" w:rsidP="00A512A1">
            <w:r w:rsidRPr="006E7DAB">
              <w:rPr>
                <w:b/>
                <w:bCs/>
              </w:rPr>
              <w:t>Advance Funding Payable</w:t>
            </w:r>
            <w:r w:rsidRPr="006E7DAB">
              <w:t xml:space="preserve"> -  When the Agency receives a deposit for work to be done in the future, it recognizes it by debiting (increasing) cash and crediting (increasing) a deferred revenue account or "Advance Funding Payable"(a liability account). This transaction doesn't affect the income statement -- the deferred revenue is not really a revenue per se. The deferred account functions like a holding place, until services are provided. The entire transaction affects only balance sheet accounts. Once the service is provided, a "real" revenue is recognized with an entry that debits (decreases) the deferred account and credits (increases) the revenue account. Program income received in advance consist of the following as of October 31, 2017,</w:t>
            </w:r>
          </w:p>
        </w:tc>
      </w:tr>
    </w:tbl>
    <w:p w:rsidR="00A512A1" w:rsidRDefault="00A512A1">
      <w:r>
        <w:br w:type="page"/>
      </w:r>
    </w:p>
    <w:tbl>
      <w:tblPr>
        <w:tblStyle w:val="TableGrid"/>
        <w:tblW w:w="10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
        <w:gridCol w:w="1257"/>
        <w:gridCol w:w="1555"/>
        <w:gridCol w:w="1401"/>
        <w:gridCol w:w="1835"/>
        <w:gridCol w:w="2056"/>
        <w:gridCol w:w="1228"/>
        <w:gridCol w:w="1287"/>
      </w:tblGrid>
      <w:tr w:rsidR="00A512A1" w:rsidRPr="006E7DAB" w:rsidTr="00A512A1">
        <w:trPr>
          <w:trHeight w:val="945"/>
        </w:trPr>
        <w:tc>
          <w:tcPr>
            <w:tcW w:w="337" w:type="dxa"/>
            <w:hideMark/>
          </w:tcPr>
          <w:p w:rsidR="006E7DAB" w:rsidRPr="006E7DAB" w:rsidRDefault="006E7DAB" w:rsidP="00A512A1"/>
        </w:tc>
        <w:tc>
          <w:tcPr>
            <w:tcW w:w="2812" w:type="dxa"/>
            <w:gridSpan w:val="2"/>
            <w:hideMark/>
          </w:tcPr>
          <w:p w:rsidR="006E7DAB" w:rsidRPr="006E7DAB" w:rsidRDefault="006E7DAB" w:rsidP="00A512A1">
            <w:pPr>
              <w:rPr>
                <w:b/>
                <w:bCs/>
              </w:rPr>
            </w:pPr>
            <w:r w:rsidRPr="006E7DAB">
              <w:rPr>
                <w:b/>
                <w:bCs/>
              </w:rPr>
              <w:t>Fund Name</w:t>
            </w:r>
          </w:p>
        </w:tc>
        <w:tc>
          <w:tcPr>
            <w:tcW w:w="1401" w:type="dxa"/>
            <w:hideMark/>
          </w:tcPr>
          <w:p w:rsidR="006E7DAB" w:rsidRPr="006E7DAB" w:rsidRDefault="006E7DAB" w:rsidP="00A512A1">
            <w:pPr>
              <w:rPr>
                <w:b/>
                <w:bCs/>
              </w:rPr>
            </w:pPr>
            <w:r w:rsidRPr="006E7DAB">
              <w:rPr>
                <w:b/>
                <w:bCs/>
              </w:rPr>
              <w:t xml:space="preserve">Beginning Balance at January 1st </w:t>
            </w:r>
          </w:p>
        </w:tc>
        <w:tc>
          <w:tcPr>
            <w:tcW w:w="1835" w:type="dxa"/>
            <w:hideMark/>
          </w:tcPr>
          <w:p w:rsidR="006E7DAB" w:rsidRPr="006E7DAB" w:rsidRDefault="006E7DAB" w:rsidP="00A512A1">
            <w:pPr>
              <w:rPr>
                <w:b/>
                <w:bCs/>
              </w:rPr>
            </w:pPr>
            <w:r w:rsidRPr="006E7DAB">
              <w:rPr>
                <w:b/>
                <w:bCs/>
              </w:rPr>
              <w:t>+ Contributions</w:t>
            </w:r>
          </w:p>
        </w:tc>
        <w:tc>
          <w:tcPr>
            <w:tcW w:w="2056" w:type="dxa"/>
            <w:hideMark/>
          </w:tcPr>
          <w:p w:rsidR="006E7DAB" w:rsidRPr="006E7DAB" w:rsidRDefault="006E7DAB" w:rsidP="00A512A1">
            <w:pPr>
              <w:rPr>
                <w:b/>
                <w:bCs/>
              </w:rPr>
            </w:pPr>
            <w:r w:rsidRPr="006E7DAB">
              <w:rPr>
                <w:b/>
                <w:bCs/>
              </w:rPr>
              <w:t>&lt;Distributions&gt;</w:t>
            </w:r>
          </w:p>
        </w:tc>
        <w:tc>
          <w:tcPr>
            <w:tcW w:w="1228" w:type="dxa"/>
            <w:hideMark/>
          </w:tcPr>
          <w:p w:rsidR="006E7DAB" w:rsidRPr="006E7DAB" w:rsidRDefault="006E7DAB" w:rsidP="00A512A1">
            <w:pPr>
              <w:rPr>
                <w:b/>
                <w:bCs/>
              </w:rPr>
            </w:pPr>
            <w:r w:rsidRPr="006E7DAB">
              <w:rPr>
                <w:b/>
                <w:bCs/>
              </w:rPr>
              <w:t>Ending Balance at October 31, 2017</w:t>
            </w:r>
          </w:p>
        </w:tc>
        <w:tc>
          <w:tcPr>
            <w:tcW w:w="1287" w:type="dxa"/>
            <w:hideMark/>
          </w:tcPr>
          <w:p w:rsidR="006E7DAB" w:rsidRPr="006E7DAB" w:rsidRDefault="006E7DAB" w:rsidP="00A512A1">
            <w:pPr>
              <w:rPr>
                <w:b/>
                <w:bCs/>
              </w:rPr>
            </w:pPr>
          </w:p>
        </w:tc>
      </w:tr>
      <w:tr w:rsidR="00A512A1" w:rsidRPr="006E7DAB" w:rsidTr="00A512A1">
        <w:trPr>
          <w:trHeight w:val="315"/>
        </w:trPr>
        <w:tc>
          <w:tcPr>
            <w:tcW w:w="337" w:type="dxa"/>
            <w:hideMark/>
          </w:tcPr>
          <w:p w:rsidR="006E7DAB" w:rsidRPr="006E7DAB" w:rsidRDefault="006E7DAB" w:rsidP="00A512A1"/>
        </w:tc>
        <w:tc>
          <w:tcPr>
            <w:tcW w:w="4213" w:type="dxa"/>
            <w:gridSpan w:val="3"/>
            <w:tcBorders>
              <w:bottom w:val="single" w:sz="4" w:space="0" w:color="auto"/>
            </w:tcBorders>
            <w:hideMark/>
          </w:tcPr>
          <w:p w:rsidR="006E7DAB" w:rsidRPr="006E7DAB" w:rsidRDefault="006E7DAB" w:rsidP="00A512A1">
            <w:pPr>
              <w:rPr>
                <w:b/>
                <w:bCs/>
              </w:rPr>
            </w:pPr>
            <w:r w:rsidRPr="006E7DAB">
              <w:rPr>
                <w:b/>
                <w:bCs/>
              </w:rPr>
              <w:t>Foundation for Community Health</w:t>
            </w:r>
          </w:p>
        </w:tc>
        <w:tc>
          <w:tcPr>
            <w:tcW w:w="1835" w:type="dxa"/>
            <w:tcBorders>
              <w:bottom w:val="single" w:sz="4" w:space="0" w:color="auto"/>
            </w:tcBorders>
            <w:hideMark/>
          </w:tcPr>
          <w:p w:rsidR="006E7DAB" w:rsidRPr="006E7DAB" w:rsidRDefault="006E7DAB" w:rsidP="00A512A1">
            <w:pPr>
              <w:rPr>
                <w:b/>
                <w:bCs/>
              </w:rPr>
            </w:pPr>
          </w:p>
        </w:tc>
        <w:tc>
          <w:tcPr>
            <w:tcW w:w="2056" w:type="dxa"/>
            <w:tcBorders>
              <w:bottom w:val="single" w:sz="4" w:space="0" w:color="auto"/>
            </w:tcBorders>
            <w:hideMark/>
          </w:tcPr>
          <w:p w:rsidR="006E7DAB" w:rsidRPr="006E7DAB" w:rsidRDefault="006E7DAB" w:rsidP="00A512A1"/>
        </w:tc>
        <w:tc>
          <w:tcPr>
            <w:tcW w:w="1228" w:type="dxa"/>
            <w:tcBorders>
              <w:bottom w:val="single" w:sz="4" w:space="0" w:color="auto"/>
            </w:tcBorders>
            <w:hideMark/>
          </w:tcPr>
          <w:p w:rsidR="006E7DAB" w:rsidRPr="006E7DAB" w:rsidRDefault="006E7DAB" w:rsidP="00A512A1"/>
        </w:tc>
        <w:tc>
          <w:tcPr>
            <w:tcW w:w="1287" w:type="dxa"/>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Prescription Rx Access</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12,113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(2,707)</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9,406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Transportation: Acram/Copake</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25,000 </w:t>
            </w: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(20,232)</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4,768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Children's Mental Health Project</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1,746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(1,746)</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rPr>
                <w:b/>
                <w:bCs/>
              </w:rPr>
            </w:pPr>
            <w:r w:rsidRPr="006E7DAB">
              <w:rPr>
                <w:b/>
                <w:bCs/>
              </w:rPr>
              <w:t>Dyson Foundation</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rPr>
                <w:b/>
                <w:bCs/>
              </w:rPr>
            </w:pP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Prescription Rx Access</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22,000 </w:t>
            </w: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(14,603)</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7,397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rPr>
                <w:b/>
                <w:bCs/>
              </w:rPr>
            </w:pPr>
            <w:r w:rsidRPr="006E7DAB">
              <w:rPr>
                <w:b/>
                <w:bCs/>
              </w:rPr>
              <w:t>NYS Grant Advances</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rPr>
                <w:b/>
                <w:bCs/>
              </w:rPr>
            </w:pP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Cancer Services Program</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7,610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22,451 </w:t>
            </w: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(21,641)</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8,421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Tobacco Free Program</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43,704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79,750 </w:t>
            </w: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(68,937)</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54,517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Health &amp; Recovery Plan (HCBS - HARP)</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49,850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w:t>
            </w: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(49,850)</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rPr>
                <w:b/>
                <w:bCs/>
              </w:rPr>
            </w:pPr>
            <w:r w:rsidRPr="006E7DAB">
              <w:rPr>
                <w:b/>
                <w:bCs/>
              </w:rPr>
              <w:t>Total Advance Funding Payable</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$115,023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$149,201 </w:t>
            </w: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(179,715)</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A512A1" w:rsidP="00A512A1">
            <w:pPr>
              <w:jc w:val="right"/>
            </w:pPr>
            <w:r>
              <w:t xml:space="preserve"> $</w:t>
            </w:r>
            <w:r w:rsidR="006E7DAB" w:rsidRPr="006E7DAB">
              <w:t xml:space="preserve">84,509 </w:t>
            </w:r>
          </w:p>
        </w:tc>
        <w:tc>
          <w:tcPr>
            <w:tcW w:w="1287" w:type="dxa"/>
            <w:tcBorders>
              <w:left w:val="single" w:sz="4" w:space="0" w:color="auto"/>
            </w:tcBorders>
            <w:hideMark/>
          </w:tcPr>
          <w:p w:rsidR="006E7DAB" w:rsidRPr="006E7DAB" w:rsidRDefault="006E7DAB" w:rsidP="00A512A1"/>
        </w:tc>
      </w:tr>
      <w:tr w:rsidR="00A512A1" w:rsidRPr="006E7DAB" w:rsidTr="00A512A1">
        <w:trPr>
          <w:trHeight w:val="225"/>
        </w:trPr>
        <w:tc>
          <w:tcPr>
            <w:tcW w:w="337" w:type="dxa"/>
            <w:hideMark/>
          </w:tcPr>
          <w:p w:rsidR="006E7DAB" w:rsidRPr="006E7DAB" w:rsidRDefault="006E7DAB" w:rsidP="00A512A1"/>
        </w:tc>
        <w:tc>
          <w:tcPr>
            <w:tcW w:w="1257" w:type="dxa"/>
            <w:tcBorders>
              <w:top w:val="single" w:sz="4" w:space="0" w:color="auto"/>
            </w:tcBorders>
            <w:hideMark/>
          </w:tcPr>
          <w:p w:rsidR="006E7DAB" w:rsidRPr="006E7DAB" w:rsidRDefault="006E7DAB" w:rsidP="00A512A1"/>
        </w:tc>
        <w:tc>
          <w:tcPr>
            <w:tcW w:w="1555" w:type="dxa"/>
            <w:tcBorders>
              <w:top w:val="single" w:sz="4" w:space="0" w:color="auto"/>
            </w:tcBorders>
            <w:hideMark/>
          </w:tcPr>
          <w:p w:rsidR="006E7DAB" w:rsidRPr="006E7DAB" w:rsidRDefault="006E7DAB" w:rsidP="00A512A1"/>
        </w:tc>
        <w:tc>
          <w:tcPr>
            <w:tcW w:w="1401" w:type="dxa"/>
            <w:tcBorders>
              <w:top w:val="single" w:sz="4" w:space="0" w:color="auto"/>
            </w:tcBorders>
            <w:hideMark/>
          </w:tcPr>
          <w:p w:rsidR="006E7DAB" w:rsidRPr="006E7DAB" w:rsidRDefault="006E7DAB" w:rsidP="00A512A1"/>
        </w:tc>
        <w:tc>
          <w:tcPr>
            <w:tcW w:w="1835" w:type="dxa"/>
            <w:tcBorders>
              <w:top w:val="single" w:sz="4" w:space="0" w:color="auto"/>
            </w:tcBorders>
            <w:hideMark/>
          </w:tcPr>
          <w:p w:rsidR="006E7DAB" w:rsidRPr="006E7DAB" w:rsidRDefault="006E7DAB" w:rsidP="00A512A1"/>
        </w:tc>
        <w:tc>
          <w:tcPr>
            <w:tcW w:w="2056" w:type="dxa"/>
            <w:tcBorders>
              <w:top w:val="single" w:sz="4" w:space="0" w:color="auto"/>
            </w:tcBorders>
            <w:hideMark/>
          </w:tcPr>
          <w:p w:rsidR="006E7DAB" w:rsidRPr="006E7DAB" w:rsidRDefault="006E7DAB" w:rsidP="00A512A1"/>
        </w:tc>
        <w:tc>
          <w:tcPr>
            <w:tcW w:w="1228" w:type="dxa"/>
            <w:tcBorders>
              <w:top w:val="single" w:sz="4" w:space="0" w:color="auto"/>
            </w:tcBorders>
            <w:hideMark/>
          </w:tcPr>
          <w:p w:rsidR="006E7DAB" w:rsidRPr="006E7DAB" w:rsidRDefault="006E7DAB" w:rsidP="00A512A1"/>
        </w:tc>
        <w:tc>
          <w:tcPr>
            <w:tcW w:w="1287" w:type="dxa"/>
            <w:hideMark/>
          </w:tcPr>
          <w:p w:rsidR="006E7DAB" w:rsidRPr="006E7DAB" w:rsidRDefault="006E7DAB" w:rsidP="00A512A1"/>
        </w:tc>
      </w:tr>
      <w:tr w:rsidR="006E7DAB" w:rsidRPr="006E7DAB" w:rsidTr="00A512A1">
        <w:trPr>
          <w:trHeight w:val="1350"/>
        </w:trPr>
        <w:tc>
          <w:tcPr>
            <w:tcW w:w="10956" w:type="dxa"/>
            <w:gridSpan w:val="8"/>
            <w:hideMark/>
          </w:tcPr>
          <w:p w:rsidR="006E7DAB" w:rsidRPr="006E7DAB" w:rsidRDefault="006E7DAB" w:rsidP="00A512A1">
            <w:r w:rsidRPr="006E7DAB">
              <w:rPr>
                <w:b/>
                <w:bCs/>
              </w:rPr>
              <w:t>Temporary Restricted Funds</w:t>
            </w:r>
            <w:r w:rsidRPr="006E7DAB">
              <w:t xml:space="preserve"> - Temporarily restricted net assets are donated contributions that have only a one-sided economic benefit and are restricted to a specific period of time or set of conditions. To decrease this revenue employ another account named Net Assets Released From Restrictions, which reports revenue.  Below temporarily restricted net assets represents donations to be used for the following specific program purpose as of October 31, 2017: </w:t>
            </w:r>
          </w:p>
        </w:tc>
      </w:tr>
      <w:tr w:rsidR="00A512A1" w:rsidRPr="006E7DAB" w:rsidTr="00A512A1">
        <w:trPr>
          <w:trHeight w:val="945"/>
        </w:trPr>
        <w:tc>
          <w:tcPr>
            <w:tcW w:w="337" w:type="dxa"/>
            <w:hideMark/>
          </w:tcPr>
          <w:p w:rsidR="006E7DAB" w:rsidRPr="006E7DAB" w:rsidRDefault="006E7DAB" w:rsidP="00A512A1"/>
        </w:tc>
        <w:tc>
          <w:tcPr>
            <w:tcW w:w="2812" w:type="dxa"/>
            <w:gridSpan w:val="2"/>
            <w:tcBorders>
              <w:bottom w:val="single" w:sz="4" w:space="0" w:color="auto"/>
            </w:tcBorders>
            <w:hideMark/>
          </w:tcPr>
          <w:p w:rsidR="006E7DAB" w:rsidRPr="006E7DAB" w:rsidRDefault="006E7DAB" w:rsidP="00A512A1">
            <w:pPr>
              <w:rPr>
                <w:b/>
                <w:bCs/>
              </w:rPr>
            </w:pPr>
            <w:r w:rsidRPr="006E7DAB">
              <w:rPr>
                <w:b/>
                <w:bCs/>
              </w:rPr>
              <w:t>Fund Name</w:t>
            </w:r>
          </w:p>
        </w:tc>
        <w:tc>
          <w:tcPr>
            <w:tcW w:w="1401" w:type="dxa"/>
            <w:tcBorders>
              <w:bottom w:val="single" w:sz="4" w:space="0" w:color="auto"/>
            </w:tcBorders>
            <w:hideMark/>
          </w:tcPr>
          <w:p w:rsidR="006E7DAB" w:rsidRPr="006E7DAB" w:rsidRDefault="006E7DAB" w:rsidP="00A512A1">
            <w:pPr>
              <w:rPr>
                <w:b/>
                <w:bCs/>
              </w:rPr>
            </w:pPr>
            <w:r w:rsidRPr="006E7DAB">
              <w:rPr>
                <w:b/>
                <w:bCs/>
              </w:rPr>
              <w:t xml:space="preserve">Beginning Balance at January 1st </w:t>
            </w:r>
          </w:p>
        </w:tc>
        <w:tc>
          <w:tcPr>
            <w:tcW w:w="1835" w:type="dxa"/>
            <w:tcBorders>
              <w:bottom w:val="single" w:sz="4" w:space="0" w:color="auto"/>
            </w:tcBorders>
            <w:hideMark/>
          </w:tcPr>
          <w:p w:rsidR="006E7DAB" w:rsidRPr="006E7DAB" w:rsidRDefault="006E7DAB" w:rsidP="00A512A1">
            <w:pPr>
              <w:rPr>
                <w:b/>
                <w:bCs/>
              </w:rPr>
            </w:pPr>
            <w:r w:rsidRPr="006E7DAB">
              <w:rPr>
                <w:b/>
                <w:bCs/>
              </w:rPr>
              <w:t>+ Contributions</w:t>
            </w:r>
          </w:p>
        </w:tc>
        <w:tc>
          <w:tcPr>
            <w:tcW w:w="2056" w:type="dxa"/>
            <w:tcBorders>
              <w:bottom w:val="single" w:sz="4" w:space="0" w:color="auto"/>
            </w:tcBorders>
            <w:hideMark/>
          </w:tcPr>
          <w:p w:rsidR="006E7DAB" w:rsidRPr="006E7DAB" w:rsidRDefault="006E7DAB" w:rsidP="00A512A1">
            <w:pPr>
              <w:rPr>
                <w:b/>
                <w:bCs/>
              </w:rPr>
            </w:pPr>
            <w:r w:rsidRPr="006E7DAB">
              <w:rPr>
                <w:b/>
                <w:bCs/>
              </w:rPr>
              <w:t>&lt;Distributions&gt;</w:t>
            </w:r>
          </w:p>
        </w:tc>
        <w:tc>
          <w:tcPr>
            <w:tcW w:w="1228" w:type="dxa"/>
            <w:tcBorders>
              <w:bottom w:val="single" w:sz="4" w:space="0" w:color="auto"/>
            </w:tcBorders>
            <w:hideMark/>
          </w:tcPr>
          <w:p w:rsidR="006E7DAB" w:rsidRPr="006E7DAB" w:rsidRDefault="006E7DAB" w:rsidP="00A512A1">
            <w:pPr>
              <w:rPr>
                <w:b/>
                <w:bCs/>
              </w:rPr>
            </w:pPr>
            <w:r w:rsidRPr="006E7DAB">
              <w:rPr>
                <w:b/>
                <w:bCs/>
              </w:rPr>
              <w:t>Ending Balance at October 31, 2017</w:t>
            </w:r>
          </w:p>
        </w:tc>
        <w:tc>
          <w:tcPr>
            <w:tcW w:w="1287" w:type="dxa"/>
            <w:hideMark/>
          </w:tcPr>
          <w:p w:rsidR="006E7DAB" w:rsidRPr="006E7DAB" w:rsidRDefault="006E7DAB" w:rsidP="00A512A1">
            <w:pPr>
              <w:rPr>
                <w:b/>
                <w:bCs/>
              </w:rPr>
            </w:pPr>
          </w:p>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Columbia County -CARTS &amp; Receptionist</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49,000 </w:t>
            </w: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(40,833)</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8,167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Columbia County Depts.-CARTS</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19,000 </w:t>
            </w: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(15,833)</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3,167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Columbia County Cancer Fund</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17,438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8,238 </w:t>
            </w: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(10,109)</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15,566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tcPr>
          <w:p w:rsidR="00A512A1" w:rsidRPr="006E7DAB" w:rsidRDefault="00A512A1" w:rsidP="00A512A1"/>
        </w:tc>
        <w:tc>
          <w:tcPr>
            <w:tcW w:w="2812" w:type="dxa"/>
            <w:gridSpan w:val="2"/>
            <w:tcBorders>
              <w:top w:val="single" w:sz="4" w:space="0" w:color="auto"/>
              <w:left w:val="single" w:sz="4" w:space="0" w:color="auto"/>
              <w:bottom w:val="single" w:sz="4" w:space="0" w:color="auto"/>
              <w:right w:val="single" w:sz="4" w:space="0" w:color="auto"/>
            </w:tcBorders>
          </w:tcPr>
          <w:p w:rsidR="00A512A1" w:rsidRPr="006E7DAB" w:rsidRDefault="00A512A1" w:rsidP="00A512A1"/>
        </w:tc>
        <w:tc>
          <w:tcPr>
            <w:tcW w:w="1401" w:type="dxa"/>
            <w:tcBorders>
              <w:top w:val="single" w:sz="4" w:space="0" w:color="auto"/>
              <w:left w:val="single" w:sz="4" w:space="0" w:color="auto"/>
              <w:bottom w:val="single" w:sz="4" w:space="0" w:color="auto"/>
              <w:right w:val="single" w:sz="4" w:space="0" w:color="auto"/>
            </w:tcBorders>
          </w:tcPr>
          <w:p w:rsidR="00A512A1" w:rsidRPr="006E7DAB" w:rsidRDefault="00A512A1" w:rsidP="00A512A1">
            <w:pPr>
              <w:jc w:val="right"/>
            </w:pPr>
          </w:p>
        </w:tc>
        <w:tc>
          <w:tcPr>
            <w:tcW w:w="1835" w:type="dxa"/>
            <w:tcBorders>
              <w:top w:val="single" w:sz="4" w:space="0" w:color="auto"/>
              <w:left w:val="single" w:sz="4" w:space="0" w:color="auto"/>
              <w:bottom w:val="single" w:sz="4" w:space="0" w:color="auto"/>
              <w:right w:val="single" w:sz="4" w:space="0" w:color="auto"/>
            </w:tcBorders>
          </w:tcPr>
          <w:p w:rsidR="00A512A1" w:rsidRPr="006E7DAB" w:rsidRDefault="00A512A1" w:rsidP="00A512A1">
            <w:pPr>
              <w:jc w:val="right"/>
            </w:pPr>
          </w:p>
        </w:tc>
        <w:tc>
          <w:tcPr>
            <w:tcW w:w="2056" w:type="dxa"/>
            <w:tcBorders>
              <w:top w:val="single" w:sz="4" w:space="0" w:color="auto"/>
              <w:left w:val="single" w:sz="4" w:space="0" w:color="auto"/>
              <w:bottom w:val="single" w:sz="4" w:space="0" w:color="auto"/>
              <w:right w:val="single" w:sz="4" w:space="0" w:color="auto"/>
            </w:tcBorders>
          </w:tcPr>
          <w:p w:rsidR="00A512A1" w:rsidRPr="006E7DAB" w:rsidRDefault="00A512A1" w:rsidP="00A512A1">
            <w:pPr>
              <w:jc w:val="right"/>
            </w:pPr>
          </w:p>
        </w:tc>
        <w:tc>
          <w:tcPr>
            <w:tcW w:w="1228" w:type="dxa"/>
            <w:tcBorders>
              <w:top w:val="single" w:sz="4" w:space="0" w:color="auto"/>
              <w:left w:val="single" w:sz="4" w:space="0" w:color="auto"/>
              <w:bottom w:val="single" w:sz="4" w:space="0" w:color="auto"/>
              <w:right w:val="single" w:sz="4" w:space="0" w:color="auto"/>
            </w:tcBorders>
          </w:tcPr>
          <w:p w:rsidR="00A512A1" w:rsidRPr="006E7DAB" w:rsidRDefault="00A512A1" w:rsidP="00A512A1">
            <w:pPr>
              <w:jc w:val="right"/>
            </w:pPr>
          </w:p>
        </w:tc>
        <w:tc>
          <w:tcPr>
            <w:tcW w:w="1287" w:type="dxa"/>
            <w:tcBorders>
              <w:left w:val="single" w:sz="4" w:space="0" w:color="auto"/>
            </w:tcBorders>
          </w:tcPr>
          <w:p w:rsidR="00A512A1" w:rsidRPr="006E7DAB" w:rsidRDefault="00A512A1"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Greene County Cancer Fund</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8,261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6,794 </w:t>
            </w: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(4,561)</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10,494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Complementary Therapies</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5,855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(470)</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5,385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Jan Koweek Fund</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1,101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1,101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                            - </w:t>
            </w:r>
          </w:p>
        </w:tc>
        <w:tc>
          <w:tcPr>
            <w:tcW w:w="1287" w:type="dxa"/>
            <w:tcBorders>
              <w:left w:val="single" w:sz="4" w:space="0" w:color="auto"/>
            </w:tcBorders>
            <w:hideMark/>
          </w:tcPr>
          <w:p w:rsidR="006E7DAB" w:rsidRPr="006E7DAB" w:rsidRDefault="006E7DAB" w:rsidP="00A512A1"/>
        </w:tc>
      </w:tr>
      <w:tr w:rsidR="00A512A1" w:rsidRPr="006E7DAB" w:rsidTr="00A512A1">
        <w:trPr>
          <w:trHeight w:val="315"/>
        </w:trPr>
        <w:tc>
          <w:tcPr>
            <w:tcW w:w="337" w:type="dxa"/>
            <w:tcBorders>
              <w:right w:val="single" w:sz="4" w:space="0" w:color="auto"/>
            </w:tcBorders>
            <w:hideMark/>
          </w:tcPr>
          <w:p w:rsidR="006E7DAB" w:rsidRPr="006E7DAB" w:rsidRDefault="006E7DAB" w:rsidP="00A512A1"/>
        </w:tc>
        <w:tc>
          <w:tcPr>
            <w:tcW w:w="2812" w:type="dxa"/>
            <w:gridSpan w:val="2"/>
            <w:tcBorders>
              <w:top w:val="single" w:sz="4" w:space="0" w:color="auto"/>
              <w:left w:val="single" w:sz="4" w:space="0" w:color="auto"/>
              <w:bottom w:val="single" w:sz="4" w:space="0" w:color="auto"/>
              <w:right w:val="single" w:sz="4" w:space="0" w:color="auto"/>
            </w:tcBorders>
            <w:hideMark/>
          </w:tcPr>
          <w:p w:rsidR="006E7DAB" w:rsidRPr="006E7DAB" w:rsidRDefault="006E7DAB" w:rsidP="00A512A1">
            <w:r w:rsidRPr="006E7DAB">
              <w:t>Totals of Temporary Restricted Funds</w:t>
            </w:r>
          </w:p>
        </w:tc>
        <w:tc>
          <w:tcPr>
            <w:tcW w:w="1401" w:type="dxa"/>
            <w:tcBorders>
              <w:top w:val="single" w:sz="4" w:space="0" w:color="auto"/>
              <w:left w:val="single" w:sz="4" w:space="0" w:color="auto"/>
              <w:bottom w:val="single" w:sz="4" w:space="0" w:color="auto"/>
              <w:right w:val="single" w:sz="4" w:space="0" w:color="auto"/>
            </w:tcBorders>
            <w:hideMark/>
          </w:tcPr>
          <w:p w:rsidR="006E7DAB" w:rsidRPr="006E7DAB" w:rsidRDefault="006E7DAB" w:rsidP="00A512A1">
            <w:pPr>
              <w:jc w:val="right"/>
            </w:pPr>
            <w:r w:rsidRPr="006E7DAB">
              <w:t xml:space="preserve">$32,654 </w:t>
            </w:r>
          </w:p>
        </w:tc>
        <w:tc>
          <w:tcPr>
            <w:tcW w:w="1835" w:type="dxa"/>
            <w:tcBorders>
              <w:top w:val="single" w:sz="4" w:space="0" w:color="auto"/>
              <w:left w:val="single" w:sz="4" w:space="0" w:color="auto"/>
              <w:bottom w:val="single" w:sz="4" w:space="0" w:color="auto"/>
              <w:right w:val="single" w:sz="4" w:space="0" w:color="auto"/>
            </w:tcBorders>
            <w:hideMark/>
          </w:tcPr>
          <w:p w:rsidR="006E7DAB" w:rsidRPr="006E7DAB" w:rsidRDefault="00A512A1" w:rsidP="00A512A1">
            <w:pPr>
              <w:jc w:val="right"/>
            </w:pPr>
            <w:r>
              <w:t>$</w:t>
            </w:r>
            <w:r w:rsidR="006E7DAB" w:rsidRPr="006E7DAB">
              <w:t xml:space="preserve">83,032 </w:t>
            </w:r>
          </w:p>
        </w:tc>
        <w:tc>
          <w:tcPr>
            <w:tcW w:w="2056" w:type="dxa"/>
            <w:tcBorders>
              <w:top w:val="single" w:sz="4" w:space="0" w:color="auto"/>
              <w:left w:val="single" w:sz="4" w:space="0" w:color="auto"/>
              <w:bottom w:val="single" w:sz="4" w:space="0" w:color="auto"/>
              <w:right w:val="single" w:sz="4" w:space="0" w:color="auto"/>
            </w:tcBorders>
            <w:hideMark/>
          </w:tcPr>
          <w:p w:rsidR="006E7DAB" w:rsidRPr="006E7DAB" w:rsidRDefault="00A512A1" w:rsidP="00A512A1">
            <w:pPr>
              <w:jc w:val="right"/>
            </w:pPr>
            <w:r>
              <w:t xml:space="preserve"> $</w:t>
            </w:r>
            <w:r w:rsidR="006E7DAB" w:rsidRPr="006E7DAB">
              <w:t>(71,807)</w:t>
            </w:r>
          </w:p>
        </w:tc>
        <w:tc>
          <w:tcPr>
            <w:tcW w:w="1228" w:type="dxa"/>
            <w:tcBorders>
              <w:top w:val="single" w:sz="4" w:space="0" w:color="auto"/>
              <w:left w:val="single" w:sz="4" w:space="0" w:color="auto"/>
              <w:bottom w:val="single" w:sz="4" w:space="0" w:color="auto"/>
              <w:right w:val="single" w:sz="4" w:space="0" w:color="auto"/>
            </w:tcBorders>
            <w:hideMark/>
          </w:tcPr>
          <w:p w:rsidR="006E7DAB" w:rsidRPr="006E7DAB" w:rsidRDefault="00A512A1" w:rsidP="00A512A1">
            <w:pPr>
              <w:jc w:val="right"/>
            </w:pPr>
            <w:r>
              <w:t>$</w:t>
            </w:r>
            <w:r w:rsidR="006E7DAB" w:rsidRPr="006E7DAB">
              <w:t xml:space="preserve">43,879 </w:t>
            </w:r>
          </w:p>
        </w:tc>
        <w:tc>
          <w:tcPr>
            <w:tcW w:w="1287" w:type="dxa"/>
            <w:tcBorders>
              <w:left w:val="single" w:sz="4" w:space="0" w:color="auto"/>
            </w:tcBorders>
            <w:hideMark/>
          </w:tcPr>
          <w:p w:rsidR="006E7DAB" w:rsidRPr="006E7DAB" w:rsidRDefault="006E7DAB" w:rsidP="00A512A1"/>
        </w:tc>
      </w:tr>
    </w:tbl>
    <w:p w:rsidR="00385B16" w:rsidRPr="00990131" w:rsidRDefault="00385B16" w:rsidP="00A512A1"/>
    <w:sectPr w:rsidR="00385B16" w:rsidRPr="00990131" w:rsidSect="00151D8B">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778" w:rsidRDefault="008D1778" w:rsidP="00A96EC7">
      <w:r>
        <w:separator/>
      </w:r>
    </w:p>
  </w:endnote>
  <w:endnote w:type="continuationSeparator" w:id="0">
    <w:p w:rsidR="008D1778" w:rsidRDefault="008D1778"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778" w:rsidRDefault="008D1778" w:rsidP="00A96EC7">
      <w:r>
        <w:separator/>
      </w:r>
    </w:p>
  </w:footnote>
  <w:footnote w:type="continuationSeparator" w:id="0">
    <w:p w:rsidR="008D1778" w:rsidRDefault="008D1778"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9"/>
  </w:num>
  <w:num w:numId="6">
    <w:abstractNumId w:val="11"/>
  </w:num>
  <w:num w:numId="7">
    <w:abstractNumId w:val="7"/>
  </w:num>
  <w:num w:numId="8">
    <w:abstractNumId w:val="6"/>
  </w:num>
  <w:num w:numId="9">
    <w:abstractNumId w:val="18"/>
  </w:num>
  <w:num w:numId="10">
    <w:abstractNumId w:val="13"/>
  </w:num>
  <w:num w:numId="11">
    <w:abstractNumId w:val="12"/>
  </w:num>
  <w:num w:numId="12">
    <w:abstractNumId w:val="17"/>
  </w:num>
  <w:num w:numId="13">
    <w:abstractNumId w:val="16"/>
  </w:num>
  <w:num w:numId="14">
    <w:abstractNumId w:val="14"/>
  </w:num>
  <w:num w:numId="15">
    <w:abstractNumId w:val="3"/>
  </w:num>
  <w:num w:numId="16">
    <w:abstractNumId w:val="1"/>
  </w:num>
  <w:num w:numId="17">
    <w:abstractNumId w:val="8"/>
  </w:num>
  <w:num w:numId="18">
    <w:abstractNumId w:val="1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6EB6"/>
    <w:rsid w:val="00037A04"/>
    <w:rsid w:val="00062538"/>
    <w:rsid w:val="00064B5F"/>
    <w:rsid w:val="00071F28"/>
    <w:rsid w:val="0009460C"/>
    <w:rsid w:val="00097F59"/>
    <w:rsid w:val="000A2D35"/>
    <w:rsid w:val="000B6DD7"/>
    <w:rsid w:val="000F0E3D"/>
    <w:rsid w:val="001274CB"/>
    <w:rsid w:val="00132B0A"/>
    <w:rsid w:val="001369A6"/>
    <w:rsid w:val="001515B8"/>
    <w:rsid w:val="00151D8B"/>
    <w:rsid w:val="001911CB"/>
    <w:rsid w:val="001A7704"/>
    <w:rsid w:val="001D6095"/>
    <w:rsid w:val="001E0050"/>
    <w:rsid w:val="001F64E2"/>
    <w:rsid w:val="002061BD"/>
    <w:rsid w:val="00207444"/>
    <w:rsid w:val="00210C29"/>
    <w:rsid w:val="00212943"/>
    <w:rsid w:val="00222A6E"/>
    <w:rsid w:val="002413F8"/>
    <w:rsid w:val="00247C27"/>
    <w:rsid w:val="00252DCF"/>
    <w:rsid w:val="002901B2"/>
    <w:rsid w:val="002A5029"/>
    <w:rsid w:val="002A5131"/>
    <w:rsid w:val="002B263C"/>
    <w:rsid w:val="002B6DEC"/>
    <w:rsid w:val="002B78E6"/>
    <w:rsid w:val="002C083B"/>
    <w:rsid w:val="002C0B80"/>
    <w:rsid w:val="002C4573"/>
    <w:rsid w:val="002E2F64"/>
    <w:rsid w:val="0030688B"/>
    <w:rsid w:val="00342789"/>
    <w:rsid w:val="00350A8C"/>
    <w:rsid w:val="00352709"/>
    <w:rsid w:val="003624D1"/>
    <w:rsid w:val="00385B16"/>
    <w:rsid w:val="003918B4"/>
    <w:rsid w:val="003F79C4"/>
    <w:rsid w:val="00412DDD"/>
    <w:rsid w:val="00413C58"/>
    <w:rsid w:val="00421F8B"/>
    <w:rsid w:val="00472B51"/>
    <w:rsid w:val="00475C88"/>
    <w:rsid w:val="004760AF"/>
    <w:rsid w:val="004A10B9"/>
    <w:rsid w:val="004C488F"/>
    <w:rsid w:val="004E0E27"/>
    <w:rsid w:val="004E41EF"/>
    <w:rsid w:val="004F7032"/>
    <w:rsid w:val="0050320B"/>
    <w:rsid w:val="00515E81"/>
    <w:rsid w:val="005509C2"/>
    <w:rsid w:val="0055133D"/>
    <w:rsid w:val="00564F43"/>
    <w:rsid w:val="00575593"/>
    <w:rsid w:val="005A25ED"/>
    <w:rsid w:val="005B073F"/>
    <w:rsid w:val="005B4AC3"/>
    <w:rsid w:val="005C3C63"/>
    <w:rsid w:val="005C6D89"/>
    <w:rsid w:val="005D783D"/>
    <w:rsid w:val="005E7D1E"/>
    <w:rsid w:val="005F21DD"/>
    <w:rsid w:val="00601B1D"/>
    <w:rsid w:val="0061327C"/>
    <w:rsid w:val="0062335B"/>
    <w:rsid w:val="006472C0"/>
    <w:rsid w:val="0066211B"/>
    <w:rsid w:val="00690525"/>
    <w:rsid w:val="006C5404"/>
    <w:rsid w:val="006C7D2A"/>
    <w:rsid w:val="006D2900"/>
    <w:rsid w:val="006D2E29"/>
    <w:rsid w:val="006D5967"/>
    <w:rsid w:val="006E7DAB"/>
    <w:rsid w:val="0070203E"/>
    <w:rsid w:val="007130EC"/>
    <w:rsid w:val="00742E9B"/>
    <w:rsid w:val="007432A5"/>
    <w:rsid w:val="00746F3D"/>
    <w:rsid w:val="00752B9A"/>
    <w:rsid w:val="00796B31"/>
    <w:rsid w:val="007D1B36"/>
    <w:rsid w:val="007D77E8"/>
    <w:rsid w:val="007E15C2"/>
    <w:rsid w:val="007E43C8"/>
    <w:rsid w:val="00810247"/>
    <w:rsid w:val="00843353"/>
    <w:rsid w:val="00855300"/>
    <w:rsid w:val="008630E4"/>
    <w:rsid w:val="008700A0"/>
    <w:rsid w:val="0088470F"/>
    <w:rsid w:val="008A2296"/>
    <w:rsid w:val="008B76AC"/>
    <w:rsid w:val="008D1778"/>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A02AD5"/>
    <w:rsid w:val="00A03133"/>
    <w:rsid w:val="00A176E2"/>
    <w:rsid w:val="00A17DE4"/>
    <w:rsid w:val="00A42B94"/>
    <w:rsid w:val="00A47703"/>
    <w:rsid w:val="00A512A1"/>
    <w:rsid w:val="00A56E15"/>
    <w:rsid w:val="00A7348F"/>
    <w:rsid w:val="00A806B4"/>
    <w:rsid w:val="00A82A4A"/>
    <w:rsid w:val="00A96EC7"/>
    <w:rsid w:val="00AA4696"/>
    <w:rsid w:val="00AF0735"/>
    <w:rsid w:val="00AF5F37"/>
    <w:rsid w:val="00B241BE"/>
    <w:rsid w:val="00B44232"/>
    <w:rsid w:val="00B50F4B"/>
    <w:rsid w:val="00B568C6"/>
    <w:rsid w:val="00B57C39"/>
    <w:rsid w:val="00B60BAB"/>
    <w:rsid w:val="00B71B2B"/>
    <w:rsid w:val="00B75C3E"/>
    <w:rsid w:val="00B816D9"/>
    <w:rsid w:val="00BE2FC7"/>
    <w:rsid w:val="00BE50D6"/>
    <w:rsid w:val="00BE521E"/>
    <w:rsid w:val="00BE76E2"/>
    <w:rsid w:val="00C14518"/>
    <w:rsid w:val="00C27C64"/>
    <w:rsid w:val="00C31650"/>
    <w:rsid w:val="00C50DA8"/>
    <w:rsid w:val="00C827EF"/>
    <w:rsid w:val="00C95C54"/>
    <w:rsid w:val="00CA7BEE"/>
    <w:rsid w:val="00CC293F"/>
    <w:rsid w:val="00CE1DBC"/>
    <w:rsid w:val="00CE644A"/>
    <w:rsid w:val="00D01490"/>
    <w:rsid w:val="00D12FA2"/>
    <w:rsid w:val="00D14318"/>
    <w:rsid w:val="00D2044F"/>
    <w:rsid w:val="00D46062"/>
    <w:rsid w:val="00D70608"/>
    <w:rsid w:val="00D81AA6"/>
    <w:rsid w:val="00D94F56"/>
    <w:rsid w:val="00DA2F4A"/>
    <w:rsid w:val="00DA6950"/>
    <w:rsid w:val="00DB62FF"/>
    <w:rsid w:val="00E40D99"/>
    <w:rsid w:val="00E81E94"/>
    <w:rsid w:val="00E91034"/>
    <w:rsid w:val="00EB0D94"/>
    <w:rsid w:val="00EB6FD4"/>
    <w:rsid w:val="00EC3403"/>
    <w:rsid w:val="00EC75A2"/>
    <w:rsid w:val="00ED4A58"/>
    <w:rsid w:val="00F007AD"/>
    <w:rsid w:val="00F01099"/>
    <w:rsid w:val="00F10E81"/>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cparde\AppData\Local\Microsoft\Windows\Temporary%20Internet%20Files\Content.Outlook\OY09A5YW\CCCHC%20Financial%20Report%2010%2031%202017%20_%20(0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cparde\AppData\Local\Microsoft\Windows\Temporary%20Internet%20Files\Content.Outlook\OY09A5YW\CCCHC%20Financial%20Report%2010%2031%202017%20_%20(00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707013072641284"/>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Data!$A$265:$A$495</c:f>
              <c:numCache>
                <c:formatCode>[$-F800]dddd\,\ mmmm\ dd\,\ yyyy</c:formatCode>
                <c:ptCount val="231"/>
                <c:pt idx="0">
                  <c:v>42737</c:v>
                </c:pt>
                <c:pt idx="1">
                  <c:v>42738</c:v>
                </c:pt>
                <c:pt idx="2">
                  <c:v>42739</c:v>
                </c:pt>
                <c:pt idx="3">
                  <c:v>42740</c:v>
                </c:pt>
                <c:pt idx="4">
                  <c:v>42741</c:v>
                </c:pt>
                <c:pt idx="5">
                  <c:v>42744</c:v>
                </c:pt>
                <c:pt idx="6">
                  <c:v>42745</c:v>
                </c:pt>
                <c:pt idx="7">
                  <c:v>42746</c:v>
                </c:pt>
                <c:pt idx="8">
                  <c:v>42747</c:v>
                </c:pt>
                <c:pt idx="9">
                  <c:v>42748</c:v>
                </c:pt>
                <c:pt idx="10">
                  <c:v>42751</c:v>
                </c:pt>
                <c:pt idx="11">
                  <c:v>42752</c:v>
                </c:pt>
                <c:pt idx="12">
                  <c:v>42753</c:v>
                </c:pt>
                <c:pt idx="13">
                  <c:v>42754</c:v>
                </c:pt>
                <c:pt idx="14">
                  <c:v>42755</c:v>
                </c:pt>
                <c:pt idx="15">
                  <c:v>42758</c:v>
                </c:pt>
                <c:pt idx="16">
                  <c:v>42759</c:v>
                </c:pt>
                <c:pt idx="17">
                  <c:v>42760</c:v>
                </c:pt>
                <c:pt idx="18">
                  <c:v>42761</c:v>
                </c:pt>
                <c:pt idx="19">
                  <c:v>42762</c:v>
                </c:pt>
                <c:pt idx="20">
                  <c:v>42765</c:v>
                </c:pt>
                <c:pt idx="21">
                  <c:v>42766</c:v>
                </c:pt>
                <c:pt idx="22">
                  <c:v>42767</c:v>
                </c:pt>
                <c:pt idx="23">
                  <c:v>42768</c:v>
                </c:pt>
                <c:pt idx="24">
                  <c:v>42769</c:v>
                </c:pt>
                <c:pt idx="25">
                  <c:v>42772</c:v>
                </c:pt>
                <c:pt idx="26">
                  <c:v>42773</c:v>
                </c:pt>
                <c:pt idx="27">
                  <c:v>42774</c:v>
                </c:pt>
                <c:pt idx="28">
                  <c:v>42775</c:v>
                </c:pt>
                <c:pt idx="29">
                  <c:v>42776</c:v>
                </c:pt>
                <c:pt idx="30">
                  <c:v>42779</c:v>
                </c:pt>
                <c:pt idx="31">
                  <c:v>42780</c:v>
                </c:pt>
                <c:pt idx="32">
                  <c:v>42781</c:v>
                </c:pt>
                <c:pt idx="33">
                  <c:v>42782</c:v>
                </c:pt>
                <c:pt idx="34">
                  <c:v>42783</c:v>
                </c:pt>
                <c:pt idx="35">
                  <c:v>42785</c:v>
                </c:pt>
                <c:pt idx="36">
                  <c:v>42787</c:v>
                </c:pt>
                <c:pt idx="37">
                  <c:v>42788</c:v>
                </c:pt>
                <c:pt idx="38">
                  <c:v>42789</c:v>
                </c:pt>
                <c:pt idx="39">
                  <c:v>42790</c:v>
                </c:pt>
                <c:pt idx="40">
                  <c:v>42793</c:v>
                </c:pt>
                <c:pt idx="41">
                  <c:v>42794</c:v>
                </c:pt>
                <c:pt idx="42">
                  <c:v>42795</c:v>
                </c:pt>
                <c:pt idx="43">
                  <c:v>42796</c:v>
                </c:pt>
                <c:pt idx="44">
                  <c:v>42797</c:v>
                </c:pt>
                <c:pt idx="45">
                  <c:v>42800</c:v>
                </c:pt>
                <c:pt idx="46">
                  <c:v>42801</c:v>
                </c:pt>
                <c:pt idx="47">
                  <c:v>42802</c:v>
                </c:pt>
                <c:pt idx="48">
                  <c:v>42803</c:v>
                </c:pt>
                <c:pt idx="49">
                  <c:v>42804</c:v>
                </c:pt>
                <c:pt idx="50">
                  <c:v>42807</c:v>
                </c:pt>
                <c:pt idx="51">
                  <c:v>42808</c:v>
                </c:pt>
                <c:pt idx="52">
                  <c:v>42809</c:v>
                </c:pt>
                <c:pt idx="53">
                  <c:v>42810</c:v>
                </c:pt>
                <c:pt idx="54">
                  <c:v>42811</c:v>
                </c:pt>
                <c:pt idx="55">
                  <c:v>42814</c:v>
                </c:pt>
                <c:pt idx="56">
                  <c:v>42815</c:v>
                </c:pt>
                <c:pt idx="57">
                  <c:v>42816</c:v>
                </c:pt>
                <c:pt idx="58">
                  <c:v>42817</c:v>
                </c:pt>
                <c:pt idx="59">
                  <c:v>42818</c:v>
                </c:pt>
                <c:pt idx="60">
                  <c:v>42821</c:v>
                </c:pt>
                <c:pt idx="61">
                  <c:v>42822</c:v>
                </c:pt>
                <c:pt idx="62">
                  <c:v>42823</c:v>
                </c:pt>
                <c:pt idx="63">
                  <c:v>42824</c:v>
                </c:pt>
                <c:pt idx="64">
                  <c:v>42825</c:v>
                </c:pt>
                <c:pt idx="65">
                  <c:v>42828</c:v>
                </c:pt>
                <c:pt idx="66">
                  <c:v>42829</c:v>
                </c:pt>
                <c:pt idx="67">
                  <c:v>42830</c:v>
                </c:pt>
                <c:pt idx="68">
                  <c:v>42831</c:v>
                </c:pt>
                <c:pt idx="69">
                  <c:v>42832</c:v>
                </c:pt>
                <c:pt idx="70">
                  <c:v>42835</c:v>
                </c:pt>
                <c:pt idx="71">
                  <c:v>42836</c:v>
                </c:pt>
                <c:pt idx="72">
                  <c:v>42837</c:v>
                </c:pt>
                <c:pt idx="73">
                  <c:v>42838</c:v>
                </c:pt>
                <c:pt idx="74">
                  <c:v>42839</c:v>
                </c:pt>
                <c:pt idx="75">
                  <c:v>42842</c:v>
                </c:pt>
                <c:pt idx="76">
                  <c:v>42843</c:v>
                </c:pt>
                <c:pt idx="77">
                  <c:v>42844</c:v>
                </c:pt>
                <c:pt idx="78">
                  <c:v>42845</c:v>
                </c:pt>
                <c:pt idx="79">
                  <c:v>42846</c:v>
                </c:pt>
                <c:pt idx="80">
                  <c:v>42849</c:v>
                </c:pt>
                <c:pt idx="81">
                  <c:v>42850</c:v>
                </c:pt>
                <c:pt idx="82">
                  <c:v>42851</c:v>
                </c:pt>
                <c:pt idx="83">
                  <c:v>42852</c:v>
                </c:pt>
                <c:pt idx="84">
                  <c:v>42853</c:v>
                </c:pt>
                <c:pt idx="85">
                  <c:v>42856</c:v>
                </c:pt>
                <c:pt idx="86">
                  <c:v>42857</c:v>
                </c:pt>
                <c:pt idx="87">
                  <c:v>42858</c:v>
                </c:pt>
                <c:pt idx="88">
                  <c:v>42859</c:v>
                </c:pt>
                <c:pt idx="89">
                  <c:v>42860</c:v>
                </c:pt>
                <c:pt idx="90">
                  <c:v>42863</c:v>
                </c:pt>
                <c:pt idx="91">
                  <c:v>42864</c:v>
                </c:pt>
                <c:pt idx="92">
                  <c:v>42865</c:v>
                </c:pt>
                <c:pt idx="93">
                  <c:v>42866</c:v>
                </c:pt>
                <c:pt idx="94">
                  <c:v>42867</c:v>
                </c:pt>
                <c:pt idx="95">
                  <c:v>42870</c:v>
                </c:pt>
                <c:pt idx="96">
                  <c:v>42871</c:v>
                </c:pt>
                <c:pt idx="97">
                  <c:v>42872</c:v>
                </c:pt>
                <c:pt idx="98">
                  <c:v>42873</c:v>
                </c:pt>
                <c:pt idx="99">
                  <c:v>42874</c:v>
                </c:pt>
                <c:pt idx="100">
                  <c:v>42877</c:v>
                </c:pt>
                <c:pt idx="101">
                  <c:v>42878</c:v>
                </c:pt>
                <c:pt idx="102">
                  <c:v>42879</c:v>
                </c:pt>
                <c:pt idx="103">
                  <c:v>42880</c:v>
                </c:pt>
                <c:pt idx="104">
                  <c:v>42881</c:v>
                </c:pt>
                <c:pt idx="105">
                  <c:v>42884</c:v>
                </c:pt>
                <c:pt idx="106">
                  <c:v>42885</c:v>
                </c:pt>
                <c:pt idx="107">
                  <c:v>42886</c:v>
                </c:pt>
                <c:pt idx="108">
                  <c:v>42887</c:v>
                </c:pt>
                <c:pt idx="109">
                  <c:v>42888</c:v>
                </c:pt>
                <c:pt idx="110">
                  <c:v>42891</c:v>
                </c:pt>
                <c:pt idx="111">
                  <c:v>42892</c:v>
                </c:pt>
                <c:pt idx="112">
                  <c:v>42893</c:v>
                </c:pt>
                <c:pt idx="113">
                  <c:v>42894</c:v>
                </c:pt>
                <c:pt idx="114">
                  <c:v>42895</c:v>
                </c:pt>
                <c:pt idx="115">
                  <c:v>42898</c:v>
                </c:pt>
                <c:pt idx="116">
                  <c:v>42899</c:v>
                </c:pt>
                <c:pt idx="117">
                  <c:v>42900</c:v>
                </c:pt>
                <c:pt idx="118">
                  <c:v>42901</c:v>
                </c:pt>
                <c:pt idx="119">
                  <c:v>42902</c:v>
                </c:pt>
                <c:pt idx="120">
                  <c:v>42905</c:v>
                </c:pt>
                <c:pt idx="121">
                  <c:v>42906</c:v>
                </c:pt>
                <c:pt idx="122">
                  <c:v>42907</c:v>
                </c:pt>
                <c:pt idx="123">
                  <c:v>42908</c:v>
                </c:pt>
                <c:pt idx="124">
                  <c:v>42909</c:v>
                </c:pt>
                <c:pt idx="125">
                  <c:v>42912</c:v>
                </c:pt>
                <c:pt idx="126">
                  <c:v>42913</c:v>
                </c:pt>
                <c:pt idx="127">
                  <c:v>42914</c:v>
                </c:pt>
                <c:pt idx="128">
                  <c:v>42915</c:v>
                </c:pt>
                <c:pt idx="129">
                  <c:v>42916</c:v>
                </c:pt>
                <c:pt idx="130">
                  <c:v>42919</c:v>
                </c:pt>
                <c:pt idx="131">
                  <c:v>42920</c:v>
                </c:pt>
                <c:pt idx="132">
                  <c:v>42921</c:v>
                </c:pt>
                <c:pt idx="133">
                  <c:v>42922</c:v>
                </c:pt>
                <c:pt idx="134">
                  <c:v>42923</c:v>
                </c:pt>
                <c:pt idx="135">
                  <c:v>42926</c:v>
                </c:pt>
                <c:pt idx="136">
                  <c:v>42927</c:v>
                </c:pt>
                <c:pt idx="137">
                  <c:v>42928</c:v>
                </c:pt>
                <c:pt idx="138">
                  <c:v>42929</c:v>
                </c:pt>
                <c:pt idx="139">
                  <c:v>42930</c:v>
                </c:pt>
                <c:pt idx="140">
                  <c:v>42933</c:v>
                </c:pt>
                <c:pt idx="141">
                  <c:v>42934</c:v>
                </c:pt>
                <c:pt idx="142">
                  <c:v>42935</c:v>
                </c:pt>
                <c:pt idx="143">
                  <c:v>42936</c:v>
                </c:pt>
                <c:pt idx="144">
                  <c:v>42937</c:v>
                </c:pt>
                <c:pt idx="145">
                  <c:v>42940</c:v>
                </c:pt>
                <c:pt idx="146">
                  <c:v>42941</c:v>
                </c:pt>
                <c:pt idx="147">
                  <c:v>42942</c:v>
                </c:pt>
                <c:pt idx="148">
                  <c:v>42943</c:v>
                </c:pt>
                <c:pt idx="149">
                  <c:v>42944</c:v>
                </c:pt>
                <c:pt idx="150">
                  <c:v>42947</c:v>
                </c:pt>
                <c:pt idx="151">
                  <c:v>42948</c:v>
                </c:pt>
                <c:pt idx="152">
                  <c:v>42949</c:v>
                </c:pt>
                <c:pt idx="153">
                  <c:v>42950</c:v>
                </c:pt>
                <c:pt idx="154">
                  <c:v>42951</c:v>
                </c:pt>
                <c:pt idx="155">
                  <c:v>42954</c:v>
                </c:pt>
                <c:pt idx="156">
                  <c:v>42955</c:v>
                </c:pt>
                <c:pt idx="157">
                  <c:v>42956</c:v>
                </c:pt>
                <c:pt idx="158">
                  <c:v>42957</c:v>
                </c:pt>
                <c:pt idx="159">
                  <c:v>42958</c:v>
                </c:pt>
                <c:pt idx="160">
                  <c:v>42961</c:v>
                </c:pt>
                <c:pt idx="161">
                  <c:v>42962</c:v>
                </c:pt>
                <c:pt idx="162">
                  <c:v>42963</c:v>
                </c:pt>
                <c:pt idx="163">
                  <c:v>42964</c:v>
                </c:pt>
                <c:pt idx="164">
                  <c:v>42965</c:v>
                </c:pt>
                <c:pt idx="165">
                  <c:v>42968</c:v>
                </c:pt>
                <c:pt idx="166">
                  <c:v>42969</c:v>
                </c:pt>
                <c:pt idx="167">
                  <c:v>42970</c:v>
                </c:pt>
                <c:pt idx="168">
                  <c:v>42971</c:v>
                </c:pt>
                <c:pt idx="169">
                  <c:v>42972</c:v>
                </c:pt>
                <c:pt idx="170">
                  <c:v>42975</c:v>
                </c:pt>
                <c:pt idx="171">
                  <c:v>42976</c:v>
                </c:pt>
                <c:pt idx="172">
                  <c:v>42977</c:v>
                </c:pt>
                <c:pt idx="173">
                  <c:v>42978</c:v>
                </c:pt>
                <c:pt idx="174">
                  <c:v>42979</c:v>
                </c:pt>
                <c:pt idx="175">
                  <c:v>42982</c:v>
                </c:pt>
                <c:pt idx="176">
                  <c:v>42983</c:v>
                </c:pt>
                <c:pt idx="177">
                  <c:v>42984</c:v>
                </c:pt>
                <c:pt idx="178">
                  <c:v>42985</c:v>
                </c:pt>
                <c:pt idx="179">
                  <c:v>42986</c:v>
                </c:pt>
                <c:pt idx="180">
                  <c:v>42989</c:v>
                </c:pt>
                <c:pt idx="181">
                  <c:v>42990</c:v>
                </c:pt>
                <c:pt idx="182">
                  <c:v>42991</c:v>
                </c:pt>
                <c:pt idx="183">
                  <c:v>42992</c:v>
                </c:pt>
                <c:pt idx="184">
                  <c:v>42993</c:v>
                </c:pt>
                <c:pt idx="185">
                  <c:v>42996</c:v>
                </c:pt>
                <c:pt idx="186">
                  <c:v>42997</c:v>
                </c:pt>
                <c:pt idx="187">
                  <c:v>42998</c:v>
                </c:pt>
                <c:pt idx="188">
                  <c:v>42999</c:v>
                </c:pt>
                <c:pt idx="189">
                  <c:v>43000</c:v>
                </c:pt>
                <c:pt idx="190">
                  <c:v>43003</c:v>
                </c:pt>
                <c:pt idx="191">
                  <c:v>43004</c:v>
                </c:pt>
                <c:pt idx="192">
                  <c:v>43005</c:v>
                </c:pt>
                <c:pt idx="193">
                  <c:v>43006</c:v>
                </c:pt>
                <c:pt idx="194">
                  <c:v>43007</c:v>
                </c:pt>
                <c:pt idx="195">
                  <c:v>43010</c:v>
                </c:pt>
                <c:pt idx="196">
                  <c:v>43011</c:v>
                </c:pt>
                <c:pt idx="197">
                  <c:v>43012</c:v>
                </c:pt>
                <c:pt idx="198">
                  <c:v>43013</c:v>
                </c:pt>
                <c:pt idx="199">
                  <c:v>43014</c:v>
                </c:pt>
                <c:pt idx="200">
                  <c:v>43017</c:v>
                </c:pt>
                <c:pt idx="201">
                  <c:v>43018</c:v>
                </c:pt>
                <c:pt idx="202">
                  <c:v>43019</c:v>
                </c:pt>
                <c:pt idx="203">
                  <c:v>43020</c:v>
                </c:pt>
                <c:pt idx="204">
                  <c:v>43021</c:v>
                </c:pt>
                <c:pt idx="205">
                  <c:v>43024</c:v>
                </c:pt>
                <c:pt idx="206">
                  <c:v>43025</c:v>
                </c:pt>
                <c:pt idx="207">
                  <c:v>43026</c:v>
                </c:pt>
                <c:pt idx="208">
                  <c:v>43027</c:v>
                </c:pt>
                <c:pt idx="209">
                  <c:v>43028</c:v>
                </c:pt>
                <c:pt idx="210">
                  <c:v>43031</c:v>
                </c:pt>
                <c:pt idx="211">
                  <c:v>43032</c:v>
                </c:pt>
                <c:pt idx="212">
                  <c:v>43033</c:v>
                </c:pt>
                <c:pt idx="213">
                  <c:v>43034</c:v>
                </c:pt>
                <c:pt idx="214">
                  <c:v>43035</c:v>
                </c:pt>
                <c:pt idx="215">
                  <c:v>43038</c:v>
                </c:pt>
                <c:pt idx="216">
                  <c:v>43039</c:v>
                </c:pt>
                <c:pt idx="217">
                  <c:v>43040</c:v>
                </c:pt>
                <c:pt idx="218">
                  <c:v>43041</c:v>
                </c:pt>
                <c:pt idx="219">
                  <c:v>43042</c:v>
                </c:pt>
                <c:pt idx="220">
                  <c:v>43045</c:v>
                </c:pt>
                <c:pt idx="221">
                  <c:v>43046</c:v>
                </c:pt>
                <c:pt idx="222">
                  <c:v>43047</c:v>
                </c:pt>
                <c:pt idx="223">
                  <c:v>43048</c:v>
                </c:pt>
                <c:pt idx="224">
                  <c:v>43049</c:v>
                </c:pt>
                <c:pt idx="225">
                  <c:v>43052</c:v>
                </c:pt>
                <c:pt idx="226">
                  <c:v>43053</c:v>
                </c:pt>
                <c:pt idx="227">
                  <c:v>43054</c:v>
                </c:pt>
                <c:pt idx="228">
                  <c:v>43055</c:v>
                </c:pt>
                <c:pt idx="229">
                  <c:v>43056</c:v>
                </c:pt>
                <c:pt idx="230">
                  <c:v>43059</c:v>
                </c:pt>
              </c:numCache>
            </c:numRef>
          </c:cat>
          <c:val>
            <c:numRef>
              <c:f>Data!$B$265:$B$495</c:f>
              <c:numCache>
                <c:formatCode>#,##0</c:formatCode>
                <c:ptCount val="231"/>
                <c:pt idx="0">
                  <c:v>354814</c:v>
                </c:pt>
                <c:pt idx="1">
                  <c:v>361866.86</c:v>
                </c:pt>
                <c:pt idx="2">
                  <c:v>363519.32</c:v>
                </c:pt>
                <c:pt idx="3">
                  <c:v>361866.66</c:v>
                </c:pt>
                <c:pt idx="4">
                  <c:v>363519</c:v>
                </c:pt>
                <c:pt idx="5">
                  <c:v>363543.47</c:v>
                </c:pt>
                <c:pt idx="6">
                  <c:v>328707.83</c:v>
                </c:pt>
                <c:pt idx="7">
                  <c:v>328708</c:v>
                </c:pt>
                <c:pt idx="8">
                  <c:v>321086.01</c:v>
                </c:pt>
                <c:pt idx="9">
                  <c:v>334097.28000000003</c:v>
                </c:pt>
                <c:pt idx="10">
                  <c:v>334097</c:v>
                </c:pt>
                <c:pt idx="11">
                  <c:v>268850.96000000002</c:v>
                </c:pt>
                <c:pt idx="12">
                  <c:v>268851</c:v>
                </c:pt>
                <c:pt idx="13">
                  <c:v>269075.21000000002</c:v>
                </c:pt>
                <c:pt idx="14">
                  <c:v>270983.21000000002</c:v>
                </c:pt>
                <c:pt idx="15">
                  <c:v>270983</c:v>
                </c:pt>
                <c:pt idx="16">
                  <c:v>270723.98</c:v>
                </c:pt>
                <c:pt idx="17">
                  <c:v>281353.09999999998</c:v>
                </c:pt>
                <c:pt idx="18">
                  <c:v>274313.84999999998</c:v>
                </c:pt>
                <c:pt idx="19">
                  <c:v>296447.59999999998</c:v>
                </c:pt>
                <c:pt idx="20">
                  <c:v>295107.96000000002</c:v>
                </c:pt>
                <c:pt idx="21">
                  <c:v>314030.53000000003</c:v>
                </c:pt>
                <c:pt idx="22">
                  <c:v>314031</c:v>
                </c:pt>
                <c:pt idx="23">
                  <c:v>312808.53999999998</c:v>
                </c:pt>
                <c:pt idx="24">
                  <c:v>316461.53999999998</c:v>
                </c:pt>
                <c:pt idx="25">
                  <c:v>316462</c:v>
                </c:pt>
                <c:pt idx="26">
                  <c:v>289560.21999999997</c:v>
                </c:pt>
                <c:pt idx="27">
                  <c:v>297310.21999999997</c:v>
                </c:pt>
                <c:pt idx="28">
                  <c:v>352433.91</c:v>
                </c:pt>
                <c:pt idx="29">
                  <c:v>352434</c:v>
                </c:pt>
                <c:pt idx="30">
                  <c:v>352434</c:v>
                </c:pt>
                <c:pt idx="31">
                  <c:v>352434</c:v>
                </c:pt>
                <c:pt idx="32">
                  <c:v>352542.46</c:v>
                </c:pt>
                <c:pt idx="33">
                  <c:v>383231.99</c:v>
                </c:pt>
                <c:pt idx="34">
                  <c:v>404679.36</c:v>
                </c:pt>
                <c:pt idx="35">
                  <c:v>404679</c:v>
                </c:pt>
                <c:pt idx="36">
                  <c:v>368703.72</c:v>
                </c:pt>
                <c:pt idx="37">
                  <c:v>368203.72</c:v>
                </c:pt>
                <c:pt idx="38">
                  <c:v>349211.92</c:v>
                </c:pt>
                <c:pt idx="39">
                  <c:v>384176.45</c:v>
                </c:pt>
                <c:pt idx="40">
                  <c:v>384176</c:v>
                </c:pt>
                <c:pt idx="41">
                  <c:v>384176</c:v>
                </c:pt>
                <c:pt idx="42">
                  <c:v>384176</c:v>
                </c:pt>
                <c:pt idx="43">
                  <c:v>395396.43</c:v>
                </c:pt>
                <c:pt idx="44">
                  <c:v>395396</c:v>
                </c:pt>
                <c:pt idx="45">
                  <c:v>395396</c:v>
                </c:pt>
                <c:pt idx="46">
                  <c:v>361856.47</c:v>
                </c:pt>
                <c:pt idx="47">
                  <c:v>361856</c:v>
                </c:pt>
                <c:pt idx="48">
                  <c:v>349877.16</c:v>
                </c:pt>
                <c:pt idx="49">
                  <c:v>359297.81</c:v>
                </c:pt>
                <c:pt idx="50">
                  <c:v>361678.91</c:v>
                </c:pt>
                <c:pt idx="51">
                  <c:v>361679</c:v>
                </c:pt>
                <c:pt idx="52">
                  <c:v>370843.37</c:v>
                </c:pt>
                <c:pt idx="53">
                  <c:v>377566.07</c:v>
                </c:pt>
                <c:pt idx="54">
                  <c:v>370373.97</c:v>
                </c:pt>
                <c:pt idx="55">
                  <c:v>338340.3</c:v>
                </c:pt>
                <c:pt idx="56">
                  <c:v>338340</c:v>
                </c:pt>
                <c:pt idx="57">
                  <c:v>338340</c:v>
                </c:pt>
                <c:pt idx="58">
                  <c:v>348438.37</c:v>
                </c:pt>
                <c:pt idx="59">
                  <c:v>348438</c:v>
                </c:pt>
                <c:pt idx="60">
                  <c:v>348360.51</c:v>
                </c:pt>
                <c:pt idx="61" formatCode="#,##0_);[Red]\(#,##0\)">
                  <c:v>348440.48</c:v>
                </c:pt>
                <c:pt idx="62" formatCode="#,##0_);[Red]\(#,##0\)">
                  <c:v>348440</c:v>
                </c:pt>
                <c:pt idx="63" formatCode="#,##0_);[Red]\(#,##0\)">
                  <c:v>350305.92</c:v>
                </c:pt>
                <c:pt idx="64" formatCode="#,##0_);[Red]\(#,##0\)">
                  <c:v>350306</c:v>
                </c:pt>
                <c:pt idx="65" formatCode="#,##0_);[Red]\(#,##0\)">
                  <c:v>350306</c:v>
                </c:pt>
                <c:pt idx="66" formatCode="#,##0_);[Red]\(#,##0\)">
                  <c:v>320389.65000000002</c:v>
                </c:pt>
                <c:pt idx="67" formatCode="#,##0_);[Red]\(#,##0\)">
                  <c:v>320390</c:v>
                </c:pt>
                <c:pt idx="68" formatCode="#,##0_);[Red]\(#,##0\)">
                  <c:v>313344</c:v>
                </c:pt>
                <c:pt idx="69" formatCode="#,##0_);[Red]\(#,##0\)">
                  <c:v>313344</c:v>
                </c:pt>
                <c:pt idx="70" formatCode="#,##0_);[Red]\(#,##0\)">
                  <c:v>306132.78000000003</c:v>
                </c:pt>
                <c:pt idx="71" formatCode="#,##0_);[Red]\(#,##0\)">
                  <c:v>286047.34999999998</c:v>
                </c:pt>
                <c:pt idx="72" formatCode="#,##0_);[Red]\(#,##0\)">
                  <c:v>286047</c:v>
                </c:pt>
                <c:pt idx="73" formatCode="#,##0_);[Red]\(#,##0\)">
                  <c:v>272128.99</c:v>
                </c:pt>
                <c:pt idx="74" formatCode="#,##0_);[Red]\(#,##0\)">
                  <c:v>272229.71000000002</c:v>
                </c:pt>
                <c:pt idx="75" formatCode="#,##0_);[Red]\(#,##0\)">
                  <c:v>236683.56</c:v>
                </c:pt>
                <c:pt idx="76" formatCode="#,##0_);[Red]\(#,##0\)">
                  <c:v>244114.64</c:v>
                </c:pt>
                <c:pt idx="77" formatCode="#,##0_);[Red]\(#,##0\)">
                  <c:v>244115</c:v>
                </c:pt>
                <c:pt idx="78" formatCode="#,##0_);[Red]\(#,##0\)">
                  <c:v>241798.76</c:v>
                </c:pt>
                <c:pt idx="79" formatCode="#,##0_);[Red]\(#,##0\)">
                  <c:v>241799</c:v>
                </c:pt>
                <c:pt idx="80" formatCode="#,##0_);[Red]\(#,##0\)">
                  <c:v>241973.76000000001</c:v>
                </c:pt>
                <c:pt idx="81" formatCode="#,##0_);[Red]\(#,##0\)">
                  <c:v>243364.2</c:v>
                </c:pt>
                <c:pt idx="82" formatCode="#,##0_);[Red]\(#,##0\)">
                  <c:v>243364</c:v>
                </c:pt>
                <c:pt idx="83" formatCode="#,##0_);[Red]\(#,##0\)">
                  <c:v>259265.45</c:v>
                </c:pt>
                <c:pt idx="84" formatCode="#,##0_);[Red]\(#,##0\)">
                  <c:v>290731.18</c:v>
                </c:pt>
                <c:pt idx="85" formatCode="#,##0_);[Red]\(#,##0\)">
                  <c:v>251486.17</c:v>
                </c:pt>
                <c:pt idx="86" formatCode="#,##0_);[Red]\(#,##0\)">
                  <c:v>253188.17</c:v>
                </c:pt>
                <c:pt idx="87" formatCode="#,##0_);[Red]\(#,##0\)">
                  <c:v>253188</c:v>
                </c:pt>
                <c:pt idx="88" formatCode="#,##0_);[Red]\(#,##0\)">
                  <c:v>232739.33</c:v>
                </c:pt>
                <c:pt idx="89" formatCode="#,##0_);[Red]\(#,##0\)">
                  <c:v>234049.33</c:v>
                </c:pt>
                <c:pt idx="90" formatCode="#,##0_);[Red]\(#,##0\)">
                  <c:v>314317.77</c:v>
                </c:pt>
                <c:pt idx="91" formatCode="#,##0_);[Red]\(#,##0\)">
                  <c:v>314318</c:v>
                </c:pt>
                <c:pt idx="92" formatCode="#,##0_);[Red]\(#,##0\)">
                  <c:v>314318</c:v>
                </c:pt>
                <c:pt idx="93" formatCode="#,##0_);[Red]\(#,##0\)">
                  <c:v>313971.28000000003</c:v>
                </c:pt>
                <c:pt idx="94" formatCode="#,##0_);[Red]\(#,##0\)">
                  <c:v>313971</c:v>
                </c:pt>
                <c:pt idx="95" formatCode="#,##0_);[Red]\(#,##0\)">
                  <c:v>271063.69</c:v>
                </c:pt>
                <c:pt idx="96" formatCode="#,##0_);[Red]\(#,##0\)">
                  <c:v>271064</c:v>
                </c:pt>
                <c:pt idx="97" formatCode="#,##0_);[Red]\(#,##0\)">
                  <c:v>271064</c:v>
                </c:pt>
                <c:pt idx="98" formatCode="#,##0_);[Red]\(#,##0\)">
                  <c:v>261497.73</c:v>
                </c:pt>
                <c:pt idx="99" formatCode="#,##0_);[Red]\(#,##0\)">
                  <c:v>311507.92</c:v>
                </c:pt>
                <c:pt idx="100" formatCode="#,##0_);[Red]\(#,##0\)">
                  <c:v>290080.52</c:v>
                </c:pt>
                <c:pt idx="101" formatCode="#,##0_);[Red]\(#,##0\)">
                  <c:v>290081</c:v>
                </c:pt>
                <c:pt idx="102" formatCode="#,##0_);[Red]\(#,##0\)">
                  <c:v>327080.46000000002</c:v>
                </c:pt>
                <c:pt idx="103" formatCode="#,##0_);[Red]\(#,##0\)">
                  <c:v>327080</c:v>
                </c:pt>
                <c:pt idx="104" formatCode="#,##0_);[Red]\(#,##0\)">
                  <c:v>336844.12</c:v>
                </c:pt>
                <c:pt idx="105" formatCode="#,##0_);[Red]\(#,##0\)">
                  <c:v>336844</c:v>
                </c:pt>
                <c:pt idx="106" formatCode="#,##0_);[Red]\(#,##0\)">
                  <c:v>300553.48</c:v>
                </c:pt>
                <c:pt idx="107" formatCode="#,##0_);[Red]\(#,##0\)">
                  <c:v>296887.5</c:v>
                </c:pt>
                <c:pt idx="108" formatCode="#,##0_);[Red]\(#,##0\)">
                  <c:v>297355.68</c:v>
                </c:pt>
                <c:pt idx="109" formatCode="#,##0_);[Red]\(#,##0\)">
                  <c:v>298760.68</c:v>
                </c:pt>
                <c:pt idx="110" formatCode="#,##0_);[Red]\(#,##0\)">
                  <c:v>279006.82</c:v>
                </c:pt>
                <c:pt idx="111" formatCode="#,##0_);[Red]\(#,##0\)">
                  <c:v>279007</c:v>
                </c:pt>
                <c:pt idx="112" formatCode="#,##0_);[Red]\(#,##0\)">
                  <c:v>279007</c:v>
                </c:pt>
                <c:pt idx="113" formatCode="#,##0_);[Red]\(#,##0\)">
                  <c:v>279112.07</c:v>
                </c:pt>
                <c:pt idx="114" formatCode="#,##0_);[Red]\(#,##0\)">
                  <c:v>279112</c:v>
                </c:pt>
                <c:pt idx="115" formatCode="#,##0_);[Red]\(#,##0\)">
                  <c:v>244072.02</c:v>
                </c:pt>
                <c:pt idx="116" formatCode="#,##0_);[Red]\(#,##0\)">
                  <c:v>249325.41</c:v>
                </c:pt>
                <c:pt idx="117" formatCode="#,##0_);[Red]\(#,##0\)">
                  <c:v>249325</c:v>
                </c:pt>
                <c:pt idx="118" formatCode="#,##0_);[Red]\(#,##0\)">
                  <c:v>252874.48</c:v>
                </c:pt>
                <c:pt idx="119" formatCode="#,##0_);[Red]\(#,##0\)">
                  <c:v>253128.65</c:v>
                </c:pt>
                <c:pt idx="120" formatCode="#,##0_);[Red]\(#,##0\)">
                  <c:v>255098.96</c:v>
                </c:pt>
                <c:pt idx="121" formatCode="#,##0_);[Red]\(#,##0\)">
                  <c:v>253521.42</c:v>
                </c:pt>
                <c:pt idx="122" formatCode="#,##0_);[Red]\(#,##0\)">
                  <c:v>253521</c:v>
                </c:pt>
                <c:pt idx="123" formatCode="#,##0_);[Red]\(#,##0\)">
                  <c:v>235912.36</c:v>
                </c:pt>
                <c:pt idx="124" formatCode="#,##0_);[Red]\(#,##0\)">
                  <c:v>235912</c:v>
                </c:pt>
                <c:pt idx="125" formatCode="#,##0_);[Red]\(#,##0\)">
                  <c:v>198879.76</c:v>
                </c:pt>
                <c:pt idx="126" formatCode="#,##0_);[Red]\(#,##0\)">
                  <c:v>199009.76</c:v>
                </c:pt>
                <c:pt idx="127" formatCode="#,##0_);[Red]\(#,##0\)">
                  <c:v>199010</c:v>
                </c:pt>
                <c:pt idx="128" formatCode="#,##0_);[Red]\(#,##0\)">
                  <c:v>210354</c:v>
                </c:pt>
                <c:pt idx="129" formatCode="#,##0_);[Red]\(#,##0\)">
                  <c:v>260779.62</c:v>
                </c:pt>
                <c:pt idx="130" formatCode="#,##0_);[Red]\(#,##0\)">
                  <c:v>260780</c:v>
                </c:pt>
                <c:pt idx="131" formatCode="#,##0_);[Red]\(#,##0\)">
                  <c:v>260780</c:v>
                </c:pt>
                <c:pt idx="132" formatCode="#,##0_);[Red]\(#,##0\)">
                  <c:v>260780</c:v>
                </c:pt>
                <c:pt idx="133" formatCode="#,##0_);[Red]\(#,##0\)">
                  <c:v>261774.11</c:v>
                </c:pt>
                <c:pt idx="134" formatCode="#,##0_);[Red]\(#,##0\)">
                  <c:v>261774</c:v>
                </c:pt>
                <c:pt idx="135" formatCode="#,##0_);[Red]\(#,##0\)">
                  <c:v>226950.89</c:v>
                </c:pt>
                <c:pt idx="136" formatCode="#,##0_);[Red]\(#,##0\)">
                  <c:v>226951</c:v>
                </c:pt>
                <c:pt idx="137" formatCode="#,##0_);[Red]\(#,##0\)">
                  <c:v>248711.94</c:v>
                </c:pt>
                <c:pt idx="138" formatCode="#,##0_);[Red]\(#,##0\)">
                  <c:v>256201.58</c:v>
                </c:pt>
                <c:pt idx="139" formatCode="#,##0_);[Red]\(#,##0\)">
                  <c:v>256272.97</c:v>
                </c:pt>
                <c:pt idx="140" formatCode="#,##0_);[Red]\(#,##0\)">
                  <c:v>256056.42</c:v>
                </c:pt>
                <c:pt idx="141" formatCode="#,##0_);[Red]\(#,##0\)">
                  <c:v>257213.96</c:v>
                </c:pt>
                <c:pt idx="142" formatCode="#,##0_);[Red]\(#,##0\)">
                  <c:v>257214</c:v>
                </c:pt>
                <c:pt idx="143" formatCode="#,##0_);[Red]\(#,##0\)">
                  <c:v>260075.5</c:v>
                </c:pt>
                <c:pt idx="144" formatCode="#,##0_);[Red]\(#,##0\)">
                  <c:v>339825.5</c:v>
                </c:pt>
                <c:pt idx="145" formatCode="#,##0_);[Red]\(#,##0\)">
                  <c:v>303182.65000000002</c:v>
                </c:pt>
                <c:pt idx="146" formatCode="#,##0_);[Red]\(#,##0\)">
                  <c:v>322340.12</c:v>
                </c:pt>
                <c:pt idx="147" formatCode="#,##0_);[Red]\(#,##0\)">
                  <c:v>322340</c:v>
                </c:pt>
                <c:pt idx="148" formatCode="#,##0_);[Red]\(#,##0\)">
                  <c:v>308772.78999999998</c:v>
                </c:pt>
                <c:pt idx="149" formatCode="#,##0_);[Red]\(#,##0\)">
                  <c:v>317343.40999999997</c:v>
                </c:pt>
                <c:pt idx="150" formatCode="#,##0_);[Red]\(#,##0\)">
                  <c:v>317343</c:v>
                </c:pt>
                <c:pt idx="151" formatCode="#,##0_);[Red]\(#,##0\)">
                  <c:v>369152.35</c:v>
                </c:pt>
                <c:pt idx="152" formatCode="#,##0_);[Red]\(#,##0\)">
                  <c:v>371061.94</c:v>
                </c:pt>
                <c:pt idx="153" formatCode="#,##0_);[Red]\(#,##0\)">
                  <c:v>372080.87</c:v>
                </c:pt>
                <c:pt idx="154" formatCode="#,##0_);[Red]\(#,##0\)">
                  <c:v>372080.87</c:v>
                </c:pt>
                <c:pt idx="155" formatCode="#,##0_);[Red]\(#,##0\)">
                  <c:v>336189.47</c:v>
                </c:pt>
                <c:pt idx="156" formatCode="#,##0_);[Red]\(#,##0\)">
                  <c:v>340998.07</c:v>
                </c:pt>
                <c:pt idx="157" formatCode="#,##0_);[Red]\(#,##0\)">
                  <c:v>332763.65000000002</c:v>
                </c:pt>
                <c:pt idx="158" formatCode="#,##0_);[Red]\(#,##0\)">
                  <c:v>375651.45</c:v>
                </c:pt>
                <c:pt idx="159" formatCode="#,##0_);[Red]\(#,##0\)">
                  <c:v>378293.21</c:v>
                </c:pt>
                <c:pt idx="160" formatCode="#,##0_);[Red]\(#,##0\)">
                  <c:v>378293</c:v>
                </c:pt>
                <c:pt idx="161" formatCode="#,##0_);[Red]\(#,##0\)">
                  <c:v>401190.06</c:v>
                </c:pt>
                <c:pt idx="162" formatCode="#,##0_);[Red]\(#,##0\)">
                  <c:v>401190</c:v>
                </c:pt>
                <c:pt idx="163" formatCode="#,##0_);[Red]\(#,##0\)">
                  <c:v>401569.72</c:v>
                </c:pt>
                <c:pt idx="164" formatCode="#,##0_);[Red]\(#,##0\)">
                  <c:v>403837.72</c:v>
                </c:pt>
                <c:pt idx="165" formatCode="#,##0_);[Red]\(#,##0\)">
                  <c:v>369495.17</c:v>
                </c:pt>
                <c:pt idx="166" formatCode="#,##0_);[Red]\(#,##0\)">
                  <c:v>379169.06</c:v>
                </c:pt>
                <c:pt idx="167" formatCode="#,##0_);[Red]\(#,##0\)">
                  <c:v>379169</c:v>
                </c:pt>
                <c:pt idx="168" formatCode="#,##0_);[Red]\(#,##0\)">
                  <c:v>372540.41</c:v>
                </c:pt>
                <c:pt idx="169" formatCode="#,##0_);[Red]\(#,##0\)">
                  <c:v>372540</c:v>
                </c:pt>
                <c:pt idx="170" formatCode="#,##0_);[Red]\(#,##0\)">
                  <c:v>372540</c:v>
                </c:pt>
                <c:pt idx="171" formatCode="#,##0_);[Red]\(#,##0\)">
                  <c:v>374625.25</c:v>
                </c:pt>
                <c:pt idx="172" formatCode="#,##0_);[Red]\(#,##0\)">
                  <c:v>382658.46</c:v>
                </c:pt>
                <c:pt idx="173" formatCode="#,##0_);[Red]\(#,##0\)">
                  <c:v>389160.26</c:v>
                </c:pt>
                <c:pt idx="174" formatCode="#,##0_);[Red]\(#,##0\)">
                  <c:v>389160</c:v>
                </c:pt>
                <c:pt idx="175" formatCode="#,##0_);[Red]\(#,##0\)">
                  <c:v>389160</c:v>
                </c:pt>
                <c:pt idx="176" formatCode="#,##0_);[Red]\(#,##0\)">
                  <c:v>352908.42</c:v>
                </c:pt>
                <c:pt idx="177" formatCode="#,##0_);[Red]\(#,##0\)">
                  <c:v>383959.41</c:v>
                </c:pt>
                <c:pt idx="178" formatCode="#,##0_);[Red]\(#,##0\)">
                  <c:v>403148.81</c:v>
                </c:pt>
                <c:pt idx="179" formatCode="#,##0_);[Red]\(#,##0\)">
                  <c:v>403344.11</c:v>
                </c:pt>
                <c:pt idx="180" formatCode="#,##0_);[Red]\(#,##0\)">
                  <c:v>403344</c:v>
                </c:pt>
                <c:pt idx="181" formatCode="#,##0_);[Red]\(#,##0\)">
                  <c:v>403344</c:v>
                </c:pt>
                <c:pt idx="182" formatCode="#,##0_);[Red]\(#,##0\)">
                  <c:v>403344</c:v>
                </c:pt>
                <c:pt idx="183" formatCode="#,##0_);[Red]\(#,##0\)">
                  <c:v>400016.8</c:v>
                </c:pt>
                <c:pt idx="184" formatCode="#,##0_);[Red]\(#,##0\)">
                  <c:v>400134.96</c:v>
                </c:pt>
                <c:pt idx="185" formatCode="#,##0_);[Red]\(#,##0\)">
                  <c:v>364805.11</c:v>
                </c:pt>
                <c:pt idx="186" formatCode="#,##0_);[Red]\(#,##0\)">
                  <c:v>364805</c:v>
                </c:pt>
                <c:pt idx="187" formatCode="#,##0_);[Red]\(#,##0\)">
                  <c:v>371804.33</c:v>
                </c:pt>
                <c:pt idx="188" formatCode="#,##0_);[Red]\(#,##0\)">
                  <c:v>370759.85</c:v>
                </c:pt>
                <c:pt idx="189" formatCode="#,##0_);[Red]\(#,##0\)">
                  <c:v>389878.66</c:v>
                </c:pt>
                <c:pt idx="190" formatCode="#,##0_);[Red]\(#,##0\)">
                  <c:v>393013.02</c:v>
                </c:pt>
                <c:pt idx="191" formatCode="#,##0_);[Red]\(#,##0\)">
                  <c:v>393593.22</c:v>
                </c:pt>
                <c:pt idx="192" formatCode="#,##0_);[Red]\(#,##0\)">
                  <c:v>393593</c:v>
                </c:pt>
                <c:pt idx="193" formatCode="#,##0_);[Red]\(#,##0\)">
                  <c:v>385433.95</c:v>
                </c:pt>
                <c:pt idx="194" formatCode="#,##0_);[Red]\(#,##0\)">
                  <c:v>385678.15</c:v>
                </c:pt>
                <c:pt idx="195" formatCode="#,##0_);[Red]\(#,##0\)">
                  <c:v>350949.28</c:v>
                </c:pt>
                <c:pt idx="196" formatCode="#,##0_);[Red]\(#,##0\)">
                  <c:v>352010.98</c:v>
                </c:pt>
                <c:pt idx="197" formatCode="#,##0_);[Red]\(#,##0\)">
                  <c:v>352011</c:v>
                </c:pt>
                <c:pt idx="198" formatCode="#,##0_);[Red]\(#,##0\)">
                  <c:v>348679</c:v>
                </c:pt>
                <c:pt idx="199" formatCode="#,##0_);[Red]\(#,##0\)">
                  <c:v>348679</c:v>
                </c:pt>
                <c:pt idx="200" formatCode="#,##0_);[Red]\(#,##0\)">
                  <c:v>348679</c:v>
                </c:pt>
                <c:pt idx="201" formatCode="#,##0_);[Red]\(#,##0\)">
                  <c:v>348679</c:v>
                </c:pt>
                <c:pt idx="202" formatCode="#,##0_);[Red]\(#,##0\)">
                  <c:v>348761.24</c:v>
                </c:pt>
                <c:pt idx="203" formatCode="#,##0_);[Red]\(#,##0\)">
                  <c:v>349998.26</c:v>
                </c:pt>
                <c:pt idx="204" formatCode="#,##0_);[Red]\(#,##0\)">
                  <c:v>370561.14</c:v>
                </c:pt>
                <c:pt idx="205" formatCode="#,##0_);[Red]\(#,##0\)">
                  <c:v>336220.14</c:v>
                </c:pt>
                <c:pt idx="206" formatCode="#,##0_);[Red]\(#,##0\)">
                  <c:v>336332.14</c:v>
                </c:pt>
                <c:pt idx="207" formatCode="#,##0_);[Red]\(#,##0\)">
                  <c:v>336332</c:v>
                </c:pt>
                <c:pt idx="208" formatCode="#,##0_);[Red]\(#,##0\)">
                  <c:v>339185.02</c:v>
                </c:pt>
                <c:pt idx="209" formatCode="#,##0_);[Red]\(#,##0\)">
                  <c:v>344936.35</c:v>
                </c:pt>
                <c:pt idx="210" formatCode="#,##0_);[Red]\(#,##0\)">
                  <c:v>344564.68</c:v>
                </c:pt>
                <c:pt idx="211" formatCode="#,##0_);[Red]\(#,##0\)">
                  <c:v>344565</c:v>
                </c:pt>
                <c:pt idx="212" formatCode="#,##0_);[Red]\(#,##0\)">
                  <c:v>344829.18</c:v>
                </c:pt>
                <c:pt idx="213" formatCode="#,##0_);[Red]\(#,##0\)">
                  <c:v>339942.05</c:v>
                </c:pt>
                <c:pt idx="214" formatCode="#,##0_);[Red]\(#,##0\)">
                  <c:v>360185.72</c:v>
                </c:pt>
                <c:pt idx="215" formatCode="#,##0_);[Red]\(#,##0\)">
                  <c:v>323067.73</c:v>
                </c:pt>
                <c:pt idx="216" formatCode="#,##0_);[Red]\(#,##0\)">
                  <c:v>323197.73</c:v>
                </c:pt>
                <c:pt idx="217" formatCode="#,##0_);[Red]\(#,##0\)">
                  <c:v>323198</c:v>
                </c:pt>
                <c:pt idx="218" formatCode="#,##0_);[Red]\(#,##0\)">
                  <c:v>341044.7</c:v>
                </c:pt>
                <c:pt idx="219" formatCode="#,##0_);[Red]\(#,##0\)">
                  <c:v>341676.17</c:v>
                </c:pt>
                <c:pt idx="220" formatCode="#,##0_);[Red]\(#,##0\)">
                  <c:v>341676</c:v>
                </c:pt>
                <c:pt idx="221" formatCode="#,##0_);[Red]\(#,##0\)">
                  <c:v>341676</c:v>
                </c:pt>
                <c:pt idx="222" formatCode="#,##0_);[Red]\(#,##0\)">
                  <c:v>379863.97</c:v>
                </c:pt>
                <c:pt idx="223" formatCode="#,##0_);[Red]\(#,##0\)">
                  <c:v>378842.06</c:v>
                </c:pt>
                <c:pt idx="224" formatCode="#,##0_);[Red]\(#,##0\)">
                  <c:v>378842</c:v>
                </c:pt>
                <c:pt idx="225" formatCode="#,##0_);[Red]\(#,##0\)">
                  <c:v>340784.14</c:v>
                </c:pt>
                <c:pt idx="226" formatCode="#,##0_);[Red]\(#,##0\)">
                  <c:v>340784</c:v>
                </c:pt>
                <c:pt idx="227" formatCode="#,##0_);[Red]\(#,##0\)">
                  <c:v>340895.76</c:v>
                </c:pt>
                <c:pt idx="228" formatCode="#,##0_);[Red]\(#,##0\)">
                  <c:v>349266.8</c:v>
                </c:pt>
                <c:pt idx="229" formatCode="#,##0_);[Red]\(#,##0\)">
                  <c:v>349267</c:v>
                </c:pt>
                <c:pt idx="230" formatCode="#,##0_);[Red]\(#,##0\)">
                  <c:v>352824.91</c:v>
                </c:pt>
              </c:numCache>
            </c:numRef>
          </c:val>
          <c:smooth val="0"/>
        </c:ser>
        <c:dLbls>
          <c:showLegendKey val="0"/>
          <c:showVal val="0"/>
          <c:showCatName val="0"/>
          <c:showSerName val="0"/>
          <c:showPercent val="0"/>
          <c:showBubbleSize val="0"/>
        </c:dLbls>
        <c:smooth val="0"/>
        <c:axId val="580207008"/>
        <c:axId val="580206616"/>
      </c:lineChart>
      <c:dateAx>
        <c:axId val="580207008"/>
        <c:scaling>
          <c:orientation val="minMax"/>
        </c:scaling>
        <c:delete val="0"/>
        <c:axPos val="b"/>
        <c:numFmt formatCode="[$-409]m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206616"/>
        <c:crosses val="autoZero"/>
        <c:auto val="1"/>
        <c:lblOffset val="100"/>
        <c:baseTimeUnit val="days"/>
        <c:majorUnit val="30"/>
        <c:majorTimeUnit val="days"/>
        <c:minorUnit val="4"/>
        <c:minorTimeUnit val="months"/>
      </c:dateAx>
      <c:valAx>
        <c:axId val="580206616"/>
        <c:scaling>
          <c:orientation val="minMax"/>
          <c:min val="150000"/>
        </c:scaling>
        <c:delete val="0"/>
        <c:axPos val="l"/>
        <c:majorGridlines>
          <c:spPr>
            <a:ln w="9525" cap="flat" cmpd="sng" algn="ctr">
              <a:solidFill>
                <a:schemeClr val="accent1"/>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207008"/>
        <c:crossesAt val="42737"/>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Grants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824961535"/>
          <c:y val="0.18097222222222226"/>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Data!$D$184:$D$197</c:f>
              <c:numCache>
                <c:formatCode>mmm\-yy</c:formatCode>
                <c:ptCount val="14"/>
                <c:pt idx="0">
                  <c:v>42644</c:v>
                </c:pt>
                <c:pt idx="1">
                  <c:v>42675</c:v>
                </c:pt>
                <c:pt idx="2">
                  <c:v>42705</c:v>
                </c:pt>
                <c:pt idx="3">
                  <c:v>42736</c:v>
                </c:pt>
                <c:pt idx="4">
                  <c:v>42767</c:v>
                </c:pt>
                <c:pt idx="5">
                  <c:v>42795</c:v>
                </c:pt>
                <c:pt idx="6">
                  <c:v>42826</c:v>
                </c:pt>
                <c:pt idx="7">
                  <c:v>42856</c:v>
                </c:pt>
                <c:pt idx="8">
                  <c:v>42887</c:v>
                </c:pt>
                <c:pt idx="9">
                  <c:v>42917</c:v>
                </c:pt>
                <c:pt idx="10">
                  <c:v>42948</c:v>
                </c:pt>
                <c:pt idx="11">
                  <c:v>42979</c:v>
                </c:pt>
                <c:pt idx="12">
                  <c:v>43009</c:v>
                </c:pt>
              </c:numCache>
            </c:numRef>
          </c:cat>
          <c:val>
            <c:numRef>
              <c:f>Data!$E$184:$E$197</c:f>
              <c:numCache>
                <c:formatCode>"$"#,##0_);[Red]\("$"#,##0\)</c:formatCode>
                <c:ptCount val="14"/>
                <c:pt idx="0">
                  <c:v>246906.4</c:v>
                </c:pt>
                <c:pt idx="1">
                  <c:v>246462.95</c:v>
                </c:pt>
                <c:pt idx="2">
                  <c:v>249807.51</c:v>
                </c:pt>
                <c:pt idx="3">
                  <c:v>351420.1</c:v>
                </c:pt>
                <c:pt idx="4">
                  <c:v>253330.36</c:v>
                </c:pt>
                <c:pt idx="5">
                  <c:v>280744.2</c:v>
                </c:pt>
                <c:pt idx="6">
                  <c:v>319478.15999999997</c:v>
                </c:pt>
                <c:pt idx="7">
                  <c:v>241828.1</c:v>
                </c:pt>
                <c:pt idx="8">
                  <c:v>248981.18</c:v>
                </c:pt>
                <c:pt idx="9">
                  <c:v>268937.63</c:v>
                </c:pt>
                <c:pt idx="10">
                  <c:v>202003.18</c:v>
                </c:pt>
                <c:pt idx="11">
                  <c:v>182576.56</c:v>
                </c:pt>
                <c:pt idx="12">
                  <c:v>196611.02000000002</c:v>
                </c:pt>
              </c:numCache>
            </c:numRef>
          </c:val>
        </c:ser>
        <c:dLbls>
          <c:showLegendKey val="0"/>
          <c:showVal val="0"/>
          <c:showCatName val="0"/>
          <c:showSerName val="0"/>
          <c:showPercent val="0"/>
          <c:showBubbleSize val="0"/>
        </c:dLbls>
        <c:gapWidth val="243"/>
        <c:overlap val="-83"/>
        <c:axId val="580208576"/>
        <c:axId val="580208184"/>
      </c:barChart>
      <c:dateAx>
        <c:axId val="580208576"/>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208184"/>
        <c:crosses val="autoZero"/>
        <c:auto val="1"/>
        <c:lblOffset val="100"/>
        <c:baseTimeUnit val="months"/>
      </c:dateAx>
      <c:valAx>
        <c:axId val="580208184"/>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208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F9CAE-ACD8-4D23-8469-C9D97DA43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1727</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aboyle</dc:creator>
  <cp:lastModifiedBy>Claire Parde</cp:lastModifiedBy>
  <cp:revision>4</cp:revision>
  <dcterms:created xsi:type="dcterms:W3CDTF">2017-11-28T20:47:00Z</dcterms:created>
  <dcterms:modified xsi:type="dcterms:W3CDTF">2017-11-28T21:07:00Z</dcterms:modified>
</cp:coreProperties>
</file>