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Default="0036512F" w:rsidP="0036512F">
      <w:pPr>
        <w:pStyle w:val="Header"/>
        <w:rPr>
          <w:b/>
        </w:rPr>
      </w:pPr>
      <w:r>
        <w:rPr>
          <w:b/>
        </w:rPr>
        <w:t>Columbia County Community Healthcare Consortium, Inc.</w:t>
      </w:r>
    </w:p>
    <w:p w:rsidR="0036512F" w:rsidRDefault="0036512F" w:rsidP="0036512F">
      <w:pPr>
        <w:pStyle w:val="Header"/>
        <w:rPr>
          <w:b/>
        </w:rPr>
      </w:pPr>
      <w:r>
        <w:rPr>
          <w:b/>
        </w:rPr>
        <w:t>Executive Committee</w:t>
      </w:r>
    </w:p>
    <w:p w:rsidR="0036512F" w:rsidRDefault="0036512F" w:rsidP="0036512F">
      <w:pPr>
        <w:pStyle w:val="Header"/>
        <w:rPr>
          <w:b/>
        </w:rPr>
      </w:pPr>
      <w:r>
        <w:rPr>
          <w:b/>
        </w:rPr>
        <w:t xml:space="preserve">Notes from the meeting of </w:t>
      </w:r>
      <w:r w:rsidR="00573FD7">
        <w:rPr>
          <w:b/>
        </w:rPr>
        <w:t>November 30</w:t>
      </w:r>
      <w:r>
        <w:rPr>
          <w:b/>
        </w:rPr>
        <w:t>, 2016</w:t>
      </w:r>
    </w:p>
    <w:p w:rsidR="0036512F" w:rsidRDefault="0036512F" w:rsidP="0036512F">
      <w:pPr>
        <w:pStyle w:val="Header"/>
        <w:rPr>
          <w:b/>
        </w:rPr>
      </w:pPr>
    </w:p>
    <w:p w:rsidR="0036512F" w:rsidRDefault="0036512F" w:rsidP="0036512F">
      <w:r>
        <w:rPr>
          <w:b/>
        </w:rPr>
        <w:t xml:space="preserve">Attending Members: </w:t>
      </w:r>
      <w:r w:rsidR="00D47589">
        <w:t>Robin Andrews,</w:t>
      </w:r>
      <w:r>
        <w:t xml:space="preserve"> Art Proper, Leitha Pierro, Theresa Lux</w:t>
      </w:r>
      <w:r w:rsidR="00573FD7">
        <w:t>, Beth Schuster, Tam Mustapha</w:t>
      </w:r>
    </w:p>
    <w:p w:rsidR="0036512F" w:rsidRDefault="0036512F" w:rsidP="0036512F"/>
    <w:p w:rsidR="0036512F" w:rsidRDefault="0036512F" w:rsidP="0036512F">
      <w:r>
        <w:rPr>
          <w:b/>
        </w:rPr>
        <w:t>Absent Members:</w:t>
      </w:r>
      <w:r>
        <w:t xml:space="preserve"> </w:t>
      </w:r>
      <w:r w:rsidR="00573FD7">
        <w:t>Linda Tripp</w:t>
      </w:r>
    </w:p>
    <w:p w:rsidR="0036512F" w:rsidRDefault="0036512F" w:rsidP="0036512F"/>
    <w:p w:rsidR="0036512F" w:rsidRDefault="0036512F" w:rsidP="0036512F">
      <w:pPr>
        <w:rPr>
          <w:b/>
        </w:rPr>
      </w:pPr>
      <w:r>
        <w:rPr>
          <w:b/>
        </w:rPr>
        <w:t xml:space="preserve">Staff Members: </w:t>
      </w:r>
      <w:r w:rsidR="00573FD7">
        <w:t>Claire Parde</w:t>
      </w:r>
      <w:r>
        <w:t>, John Ray, and Aleshia Boyle</w:t>
      </w:r>
      <w:r>
        <w:rPr>
          <w:b/>
        </w:rPr>
        <w:t xml:space="preserve"> </w:t>
      </w:r>
    </w:p>
    <w:p w:rsidR="0036512F" w:rsidRDefault="0036512F" w:rsidP="0036512F"/>
    <w:p w:rsidR="0036512F" w:rsidRDefault="0036512F" w:rsidP="0036512F">
      <w:pPr>
        <w:rPr>
          <w:b/>
        </w:rPr>
      </w:pPr>
      <w:r>
        <w:rPr>
          <w:b/>
        </w:rPr>
        <w:t>CALL TO ORDER</w:t>
      </w:r>
    </w:p>
    <w:p w:rsidR="0036512F" w:rsidRDefault="0036512F" w:rsidP="0036512F">
      <w:r>
        <w:t>Meeting was called to order at 9:0</w:t>
      </w:r>
      <w:r w:rsidR="00573FD7">
        <w:t>4</w:t>
      </w:r>
      <w:r>
        <w:t xml:space="preserve"> a.m. by </w:t>
      </w:r>
      <w:r w:rsidR="00573FD7">
        <w:t>President Beth Schuster</w:t>
      </w:r>
    </w:p>
    <w:p w:rsidR="0036512F" w:rsidRDefault="0036512F" w:rsidP="0036512F">
      <w:pPr>
        <w:spacing w:line="276" w:lineRule="auto"/>
      </w:pPr>
    </w:p>
    <w:p w:rsidR="0036512F" w:rsidRDefault="0036512F" w:rsidP="0036512F">
      <w:pPr>
        <w:spacing w:line="276" w:lineRule="auto"/>
        <w:rPr>
          <w:u w:val="single"/>
        </w:rPr>
      </w:pPr>
      <w:r>
        <w:rPr>
          <w:u w:val="single"/>
        </w:rPr>
        <w:t>Fiscal Highlights</w:t>
      </w:r>
    </w:p>
    <w:p w:rsidR="0036512F" w:rsidRDefault="0036512F" w:rsidP="0036512F">
      <w:r>
        <w:t>John Ray presented the Fiscal Highlights report (see attached).</w:t>
      </w:r>
    </w:p>
    <w:p w:rsidR="0036512F" w:rsidRDefault="0036512F" w:rsidP="0036512F"/>
    <w:p w:rsidR="0036512F" w:rsidRDefault="00573FD7" w:rsidP="00EB6B51">
      <w:r>
        <w:t xml:space="preserve">John </w:t>
      </w:r>
      <w:r w:rsidR="00D47589">
        <w:t xml:space="preserve">reported that </w:t>
      </w:r>
      <w:r>
        <w:t>a staff member</w:t>
      </w:r>
      <w:r w:rsidR="00D47589">
        <w:t xml:space="preserve"> from Marvin and Company will </w:t>
      </w:r>
      <w:r>
        <w:t xml:space="preserve">be coming for two days next week </w:t>
      </w:r>
      <w:r w:rsidR="0037533D">
        <w:t xml:space="preserve">to begin the field work process and will return </w:t>
      </w:r>
      <w:r w:rsidR="00F410BD">
        <w:t>in February to complete it.</w:t>
      </w:r>
    </w:p>
    <w:p w:rsidR="00F410BD" w:rsidRDefault="00F410BD" w:rsidP="00EB6B51"/>
    <w:p w:rsidR="004409DD" w:rsidRDefault="00F410BD" w:rsidP="00EB6B51">
      <w:r>
        <w:t xml:space="preserve">Claire reported that Medical Answering Services (MAS) has requested bids from Medicaid transportation providers for </w:t>
      </w:r>
      <w:r w:rsidR="006946AD">
        <w:t xml:space="preserve">service delivery </w:t>
      </w:r>
      <w:r w:rsidR="00967DA1">
        <w:t xml:space="preserve">for the 2017 calendar year </w:t>
      </w:r>
      <w:r w:rsidR="006946AD">
        <w:t xml:space="preserve">in </w:t>
      </w:r>
      <w:r>
        <w:t xml:space="preserve">the different zones that they have created for Columbia County. The agency’s Children and Adults Rural Transportation </w:t>
      </w:r>
      <w:r w:rsidR="006946AD">
        <w:t xml:space="preserve">Service (CARTS) </w:t>
      </w:r>
      <w:r>
        <w:t>ha</w:t>
      </w:r>
      <w:r w:rsidR="004409DD">
        <w:t>s</w:t>
      </w:r>
      <w:r>
        <w:t xml:space="preserve"> been </w:t>
      </w:r>
      <w:r w:rsidR="00D24A3C">
        <w:t>transport</w:t>
      </w:r>
      <w:r w:rsidR="006946AD">
        <w:t>ing</w:t>
      </w:r>
      <w:r w:rsidR="00D24A3C">
        <w:t xml:space="preserve"> clients from group homes in Greenport, Philmont, Ancramdale, and Copake Falls </w:t>
      </w:r>
      <w:r>
        <w:t xml:space="preserve">to and from Personalized Recovery Oriented Services </w:t>
      </w:r>
      <w:r w:rsidR="00D24A3C">
        <w:t>(PROS) at the Mental Health Association</w:t>
      </w:r>
      <w:r w:rsidR="004409DD">
        <w:t xml:space="preserve"> </w:t>
      </w:r>
      <w:r w:rsidR="006946AD">
        <w:t xml:space="preserve">on a </w:t>
      </w:r>
      <w:r w:rsidR="004409DD">
        <w:t>daily</w:t>
      </w:r>
      <w:r w:rsidR="006946AD">
        <w:t xml:space="preserve"> basis, constituting a large part of our Medicaid service delivery and revenue</w:t>
      </w:r>
      <w:r w:rsidR="00D24A3C">
        <w:t>. After receiving notification that M</w:t>
      </w:r>
      <w:r w:rsidR="004409DD">
        <w:t xml:space="preserve">AS put these out to bid, Claire </w:t>
      </w:r>
      <w:r w:rsidR="00D24A3C">
        <w:t>met with the Transportation Program Coordinator, Jim Funk, and Fiscal Manage</w:t>
      </w:r>
      <w:r w:rsidR="004409DD">
        <w:t xml:space="preserve">r, John Ray, to decide </w:t>
      </w:r>
      <w:r w:rsidR="006946AD">
        <w:t xml:space="preserve">which zones the agency will propose to </w:t>
      </w:r>
      <w:r w:rsidR="006946AD">
        <w:lastRenderedPageBreak/>
        <w:t xml:space="preserve">serve and </w:t>
      </w:r>
      <w:r w:rsidR="00967DA1">
        <w:t>what amount they would bid for each</w:t>
      </w:r>
      <w:r w:rsidR="006946AD">
        <w:t xml:space="preserve">. </w:t>
      </w:r>
      <w:r w:rsidR="00D24A3C">
        <w:t xml:space="preserve">It was decided that they will not bid on the zone that includes the </w:t>
      </w:r>
      <w:r w:rsidR="004409DD">
        <w:t xml:space="preserve">residences they currently serve in Philmont and Greenport, but they do intend to competitively bid on the zone that includes Ancramdale and Copake Falls. </w:t>
      </w:r>
    </w:p>
    <w:p w:rsidR="004409DD" w:rsidRDefault="004409DD" w:rsidP="00EB6B51"/>
    <w:p w:rsidR="00F410BD" w:rsidRDefault="004409DD" w:rsidP="00EB6B51">
      <w:r>
        <w:t>Should another provider decide to bid on the zone that includes Philmont and Greenport</w:t>
      </w:r>
      <w:r w:rsidR="006946AD">
        <w:t xml:space="preserve"> and be selected to deliver that service</w:t>
      </w:r>
      <w:r>
        <w:t xml:space="preserve">, </w:t>
      </w:r>
      <w:r w:rsidR="006946AD">
        <w:t>CARTS</w:t>
      </w:r>
      <w:r>
        <w:t xml:space="preserve"> </w:t>
      </w:r>
      <w:r w:rsidR="00967DA1">
        <w:t xml:space="preserve">will lose a good portion of its </w:t>
      </w:r>
      <w:r>
        <w:t xml:space="preserve">Medicaid revenue. It is also possible that the agency may lose the </w:t>
      </w:r>
      <w:r w:rsidR="006946AD">
        <w:t xml:space="preserve">bid for the </w:t>
      </w:r>
      <w:r>
        <w:t>residences in Ancramdale and Copake Falls</w:t>
      </w:r>
      <w:r w:rsidR="006946AD">
        <w:t xml:space="preserve">.  </w:t>
      </w:r>
      <w:r w:rsidR="00967DA1">
        <w:t>Finally, i</w:t>
      </w:r>
      <w:r w:rsidR="006946AD">
        <w:t xml:space="preserve">t is possible that other providers will not be selected, and service delivery and the accompanying revenue will remain </w:t>
      </w:r>
      <w:r w:rsidR="00967DA1">
        <w:t>the same</w:t>
      </w:r>
      <w:r w:rsidR="006946AD">
        <w:t xml:space="preserve">.  </w:t>
      </w:r>
      <w:r>
        <w:t>The bid will be submitted by December 5</w:t>
      </w:r>
      <w:r w:rsidRPr="004409DD">
        <w:rPr>
          <w:vertAlign w:val="superscript"/>
        </w:rPr>
        <w:t>th</w:t>
      </w:r>
      <w:r w:rsidR="00967DA1">
        <w:t>; we anticipate notification by the end of the calendar year</w:t>
      </w:r>
    </w:p>
    <w:p w:rsidR="0036512F" w:rsidRDefault="0036512F" w:rsidP="0036512F"/>
    <w:p w:rsidR="0036512F" w:rsidRDefault="0036512F" w:rsidP="0036512F">
      <w:pPr>
        <w:spacing w:line="276" w:lineRule="auto"/>
      </w:pPr>
      <w:r>
        <w:rPr>
          <w:i/>
        </w:rPr>
        <w:t>Following the delivery of the Fiscal Highlights report</w:t>
      </w:r>
      <w:r w:rsidR="00847119">
        <w:rPr>
          <w:i/>
        </w:rPr>
        <w:t xml:space="preserve"> and discussion about MAS</w:t>
      </w:r>
      <w:r>
        <w:rPr>
          <w:i/>
        </w:rPr>
        <w:t>, John Ray exited the meeting.</w:t>
      </w:r>
    </w:p>
    <w:p w:rsidR="0036512F" w:rsidRDefault="0036512F" w:rsidP="0036512F">
      <w:pPr>
        <w:spacing w:line="276" w:lineRule="auto"/>
        <w:rPr>
          <w:b/>
        </w:rPr>
      </w:pPr>
    </w:p>
    <w:p w:rsidR="0036512F" w:rsidRDefault="0036512F" w:rsidP="0036512F">
      <w:pPr>
        <w:spacing w:line="276" w:lineRule="auto"/>
        <w:rPr>
          <w:u w:val="single"/>
        </w:rPr>
      </w:pPr>
      <w:r>
        <w:rPr>
          <w:u w:val="single"/>
        </w:rPr>
        <w:t>Executive Director’s Report</w:t>
      </w:r>
    </w:p>
    <w:p w:rsidR="0036512F" w:rsidRDefault="0036512F" w:rsidP="0036512F">
      <w:pPr>
        <w:spacing w:line="276" w:lineRule="auto"/>
      </w:pPr>
      <w:r>
        <w:t xml:space="preserve">At this time, </w:t>
      </w:r>
      <w:r w:rsidR="00B34A36">
        <w:t xml:space="preserve">Claire briefly went over her </w:t>
      </w:r>
      <w:r w:rsidR="00D47589">
        <w:t>Executive Director’s Report</w:t>
      </w:r>
      <w:r>
        <w:t xml:space="preserve"> (see attached). </w:t>
      </w:r>
    </w:p>
    <w:p w:rsidR="0036512F" w:rsidRDefault="0036512F" w:rsidP="0036512F">
      <w:pPr>
        <w:spacing w:line="276" w:lineRule="auto"/>
      </w:pPr>
    </w:p>
    <w:p w:rsidR="0036512F" w:rsidRDefault="00B34A36" w:rsidP="0036512F">
      <w:pPr>
        <w:spacing w:line="276" w:lineRule="auto"/>
      </w:pPr>
      <w:r>
        <w:rPr>
          <w:u w:val="single"/>
        </w:rPr>
        <w:t>December Board Meeting</w:t>
      </w:r>
    </w:p>
    <w:p w:rsidR="00D47589" w:rsidRDefault="004207AD" w:rsidP="00E072ED">
      <w:r>
        <w:t>M</w:t>
      </w:r>
      <w:r w:rsidR="0036512F">
        <w:t xml:space="preserve">embers </w:t>
      </w:r>
      <w:r w:rsidR="00D47589">
        <w:t xml:space="preserve">reviewed </w:t>
      </w:r>
      <w:r w:rsidR="00B34A36">
        <w:t xml:space="preserve">a draft Board agenda for the upcoming meeting. A minor adjustment was made to move a piece of business up on the </w:t>
      </w:r>
      <w:r w:rsidR="00050F0F">
        <w:t xml:space="preserve">list. Members also reviewed a draft 2017 Governance Calendar with no concerns, but made some corrections to the draft 2017 Meetings Calendar. Both documents will be distributed at the next Board meeting. </w:t>
      </w:r>
    </w:p>
    <w:p w:rsidR="00E6731B" w:rsidRDefault="00E6731B" w:rsidP="00E072ED"/>
    <w:p w:rsidR="00C922E6" w:rsidRDefault="00050F0F" w:rsidP="00E072ED">
      <w:r>
        <w:t xml:space="preserve">Members briefly discussed the holiday party that will occur </w:t>
      </w:r>
      <w:r>
        <w:lastRenderedPageBreak/>
        <w:t xml:space="preserve">during the last half hour of the Board meeting. Claire will </w:t>
      </w:r>
      <w:r w:rsidR="006946AD">
        <w:t>order</w:t>
      </w:r>
      <w:r>
        <w:t xml:space="preserve"> refreshments from Cascades. Aleshia will include in the reminder email that members are </w:t>
      </w:r>
      <w:r w:rsidR="00967DA1">
        <w:t xml:space="preserve">encouraged </w:t>
      </w:r>
      <w:r>
        <w:t xml:space="preserve">to bring a gift or cash donation to go to the Edith Casey Stocking Fund. </w:t>
      </w:r>
    </w:p>
    <w:p w:rsidR="00050F0F" w:rsidRDefault="00050F0F" w:rsidP="00D47589">
      <w:pPr>
        <w:spacing w:line="276" w:lineRule="auto"/>
      </w:pPr>
    </w:p>
    <w:p w:rsidR="00E072ED" w:rsidRDefault="00E072ED" w:rsidP="00050F0F">
      <w:pPr>
        <w:spacing w:line="276" w:lineRule="auto"/>
        <w:rPr>
          <w:u w:val="single"/>
        </w:rPr>
      </w:pPr>
    </w:p>
    <w:p w:rsidR="00E072ED" w:rsidRDefault="00E072ED" w:rsidP="00050F0F">
      <w:pPr>
        <w:spacing w:line="276" w:lineRule="auto"/>
        <w:rPr>
          <w:u w:val="single"/>
        </w:rPr>
      </w:pPr>
    </w:p>
    <w:p w:rsidR="00050F0F" w:rsidRDefault="003B22DA" w:rsidP="00050F0F">
      <w:pPr>
        <w:spacing w:line="276" w:lineRule="auto"/>
        <w:rPr>
          <w:u w:val="single"/>
        </w:rPr>
      </w:pPr>
      <w:bookmarkStart w:id="0" w:name="_GoBack"/>
      <w:bookmarkEnd w:id="0"/>
      <w:r>
        <w:rPr>
          <w:u w:val="single"/>
        </w:rPr>
        <w:t>Executive Session</w:t>
      </w:r>
    </w:p>
    <w:p w:rsidR="00050F0F" w:rsidRDefault="003B22DA" w:rsidP="00D47589">
      <w:pPr>
        <w:spacing w:line="276" w:lineRule="auto"/>
      </w:pPr>
      <w:r>
        <w:t>Aleshia and Claire were excused from the meeting at 9:50 a.m. while members reviewed the Executive Director evaluations from the Board, Claire’s self-evaluation, and discussed the Executive Director</w:t>
      </w:r>
      <w:r w:rsidR="00967DA1">
        <w:t>’s</w:t>
      </w:r>
      <w:r>
        <w:t xml:space="preserve"> contract terms for 2017.</w:t>
      </w:r>
    </w:p>
    <w:p w:rsidR="0036512F" w:rsidRDefault="0036512F" w:rsidP="0036512F">
      <w:pPr>
        <w:spacing w:before="240" w:line="276" w:lineRule="auto"/>
        <w:rPr>
          <w:b/>
        </w:rPr>
      </w:pPr>
      <w:r>
        <w:rPr>
          <w:b/>
        </w:rPr>
        <w:t>ADJOURNMENT</w:t>
      </w:r>
    </w:p>
    <w:p w:rsidR="0036512F" w:rsidRDefault="002139E0" w:rsidP="0036512F">
      <w:pPr>
        <w:spacing w:line="276" w:lineRule="auto"/>
      </w:pPr>
      <w:r>
        <w:t>After the Executive Session the meeting was adjourned.</w:t>
      </w:r>
    </w:p>
    <w:p w:rsidR="00501874" w:rsidRDefault="00501874" w:rsidP="0036512F">
      <w:pPr>
        <w:spacing w:line="276" w:lineRule="auto"/>
      </w:pPr>
    </w:p>
    <w:p w:rsidR="00501874" w:rsidRDefault="00501874" w:rsidP="00501874">
      <w:pPr>
        <w:jc w:val="both"/>
        <w:rPr>
          <w:b/>
        </w:rPr>
      </w:pPr>
      <w:r>
        <w:t xml:space="preserve">The next Executive Committee meeting is scheduled for </w:t>
      </w:r>
      <w:r w:rsidR="00393BD5">
        <w:rPr>
          <w:b/>
        </w:rPr>
        <w:t>December 28</w:t>
      </w:r>
      <w:r>
        <w:rPr>
          <w:b/>
        </w:rPr>
        <w:t>, 2016.</w:t>
      </w:r>
    </w:p>
    <w:p w:rsidR="00CE238E" w:rsidRDefault="00CE238E" w:rsidP="00CE238E">
      <w:r>
        <w:rPr>
          <w:i/>
        </w:rPr>
        <w:t>Notes respectfully prepared and submitted by Aleshia Boyle on November 30, 2016.</w:t>
      </w:r>
    </w:p>
    <w:p w:rsidR="00CE238E" w:rsidRDefault="00CE238E" w:rsidP="00501874">
      <w:pPr>
        <w:jc w:val="both"/>
        <w:rPr>
          <w:b/>
        </w:rPr>
      </w:pPr>
    </w:p>
    <w:p w:rsidR="00501874" w:rsidRDefault="00501874" w:rsidP="00724E32">
      <w:pPr>
        <w:widowControl/>
        <w:spacing w:before="100" w:beforeAutospacing="1" w:after="100" w:afterAutospacing="1"/>
        <w:outlineLvl w:val="0"/>
      </w:pPr>
    </w:p>
    <w:p w:rsidR="00501874" w:rsidRDefault="0050187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tbl>
      <w:tblPr>
        <w:tblpPr w:leftFromText="180" w:rightFromText="180" w:horzAnchor="margin" w:tblpXSpec="center" w:tblpY="-1440"/>
        <w:tblW w:w="12998" w:type="dxa"/>
        <w:tblLayout w:type="fixed"/>
        <w:tblLook w:val="04A0" w:firstRow="1" w:lastRow="0" w:firstColumn="1" w:lastColumn="0" w:noHBand="0" w:noVBand="1"/>
      </w:tblPr>
      <w:tblGrid>
        <w:gridCol w:w="810"/>
        <w:gridCol w:w="1874"/>
        <w:gridCol w:w="1186"/>
        <w:gridCol w:w="1890"/>
        <w:gridCol w:w="1890"/>
        <w:gridCol w:w="2070"/>
        <w:gridCol w:w="2520"/>
        <w:gridCol w:w="758"/>
      </w:tblGrid>
      <w:tr w:rsidR="007748CD" w:rsidRPr="005A14F1" w:rsidTr="006946AD">
        <w:trPr>
          <w:trHeight w:val="1245"/>
        </w:trPr>
        <w:tc>
          <w:tcPr>
            <w:tcW w:w="12998" w:type="dxa"/>
            <w:gridSpan w:val="8"/>
            <w:tcBorders>
              <w:top w:val="nil"/>
              <w:left w:val="nil"/>
              <w:right w:val="nil"/>
            </w:tcBorders>
            <w:shd w:val="clear" w:color="auto" w:fill="auto"/>
            <w:noWrap/>
            <w:vAlign w:val="center"/>
            <w:hideMark/>
          </w:tcPr>
          <w:p w:rsidR="007748CD" w:rsidRPr="005A14F1" w:rsidRDefault="007748CD" w:rsidP="005A14F1">
            <w:pPr>
              <w:widowControl/>
              <w:jc w:val="center"/>
              <w:rPr>
                <w:rFonts w:ascii="Calibri" w:eastAsia="Times New Roman" w:hAnsi="Calibri" w:cs="Times New Roman"/>
                <w:b/>
                <w:bCs/>
                <w:color w:val="000000"/>
                <w:sz w:val="36"/>
                <w:szCs w:val="36"/>
              </w:rPr>
            </w:pPr>
            <w:r w:rsidRPr="005A14F1">
              <w:rPr>
                <w:rFonts w:ascii="Calibri" w:eastAsia="Times New Roman" w:hAnsi="Calibri" w:cs="Times New Roman"/>
                <w:b/>
                <w:bCs/>
                <w:color w:val="000000"/>
                <w:sz w:val="36"/>
                <w:szCs w:val="36"/>
              </w:rPr>
              <w:lastRenderedPageBreak/>
              <w:t xml:space="preserve">   </w:t>
            </w:r>
          </w:p>
          <w:tbl>
            <w:tblPr>
              <w:tblW w:w="12150" w:type="dxa"/>
              <w:tblLayout w:type="fixed"/>
              <w:tblLook w:val="04A0" w:firstRow="1" w:lastRow="0" w:firstColumn="1" w:lastColumn="0" w:noHBand="0" w:noVBand="1"/>
            </w:tblPr>
            <w:tblGrid>
              <w:gridCol w:w="12150"/>
            </w:tblGrid>
            <w:tr w:rsidR="007748CD" w:rsidRPr="007748CD" w:rsidTr="007748CD">
              <w:trPr>
                <w:trHeight w:val="465"/>
              </w:trPr>
              <w:tc>
                <w:tcPr>
                  <w:tcW w:w="12150" w:type="dxa"/>
                  <w:tcBorders>
                    <w:top w:val="nil"/>
                    <w:left w:val="nil"/>
                    <w:bottom w:val="nil"/>
                    <w:right w:val="nil"/>
                  </w:tcBorders>
                  <w:shd w:val="clear" w:color="auto" w:fill="auto"/>
                  <w:noWrap/>
                  <w:vAlign w:val="center"/>
                  <w:hideMark/>
                </w:tcPr>
                <w:p w:rsidR="007748CD" w:rsidRPr="007748CD" w:rsidRDefault="007748CD" w:rsidP="00E072ED">
                  <w:pPr>
                    <w:framePr w:hSpace="180" w:wrap="around" w:hAnchor="margin" w:xAlign="center" w:y="-1440"/>
                    <w:widowControl/>
                    <w:jc w:val="center"/>
                    <w:rPr>
                      <w:rFonts w:ascii="Calibri" w:eastAsia="Times New Roman" w:hAnsi="Calibri" w:cs="Times New Roman"/>
                      <w:b/>
                      <w:bCs/>
                      <w:color w:val="000000"/>
                      <w:sz w:val="36"/>
                      <w:szCs w:val="36"/>
                    </w:rPr>
                  </w:pPr>
                  <w:r w:rsidRPr="007748CD">
                    <w:rPr>
                      <w:rFonts w:ascii="Calibri" w:eastAsia="Times New Roman" w:hAnsi="Calibri" w:cs="Times New Roman"/>
                      <w:b/>
                      <w:bCs/>
                      <w:color w:val="000000"/>
                      <w:sz w:val="36"/>
                      <w:szCs w:val="36"/>
                    </w:rPr>
                    <w:t xml:space="preserve">   Fiscal Highlights</w:t>
                  </w:r>
                </w:p>
              </w:tc>
            </w:tr>
            <w:tr w:rsidR="007748CD" w:rsidRPr="007748CD" w:rsidTr="007748CD">
              <w:trPr>
                <w:trHeight w:val="465"/>
              </w:trPr>
              <w:tc>
                <w:tcPr>
                  <w:tcW w:w="12150" w:type="dxa"/>
                  <w:tcBorders>
                    <w:top w:val="nil"/>
                    <w:left w:val="nil"/>
                    <w:bottom w:val="nil"/>
                    <w:right w:val="nil"/>
                  </w:tcBorders>
                  <w:shd w:val="clear" w:color="auto" w:fill="auto"/>
                  <w:noWrap/>
                  <w:vAlign w:val="center"/>
                  <w:hideMark/>
                </w:tcPr>
                <w:p w:rsidR="007748CD" w:rsidRPr="007748CD" w:rsidRDefault="007748CD" w:rsidP="00E072ED">
                  <w:pPr>
                    <w:framePr w:hSpace="180" w:wrap="around" w:hAnchor="margin" w:xAlign="center" w:y="-1440"/>
                    <w:widowControl/>
                    <w:jc w:val="center"/>
                    <w:rPr>
                      <w:rFonts w:ascii="Calibri" w:eastAsia="Times New Roman" w:hAnsi="Calibri" w:cs="Times New Roman"/>
                      <w:b/>
                      <w:bCs/>
                      <w:color w:val="000000"/>
                      <w:sz w:val="36"/>
                      <w:szCs w:val="36"/>
                    </w:rPr>
                  </w:pPr>
                  <w:r w:rsidRPr="007748CD">
                    <w:rPr>
                      <w:rFonts w:ascii="Calibri" w:eastAsia="Times New Roman" w:hAnsi="Calibri" w:cs="Times New Roman"/>
                      <w:b/>
                      <w:bCs/>
                      <w:color w:val="000000"/>
                      <w:sz w:val="36"/>
                      <w:szCs w:val="36"/>
                    </w:rPr>
                    <w:t>Wednesday, November 30, 2016</w:t>
                  </w:r>
                </w:p>
              </w:tc>
            </w:tr>
            <w:tr w:rsidR="007748CD" w:rsidRPr="007748CD" w:rsidTr="007748CD">
              <w:trPr>
                <w:trHeight w:val="315"/>
              </w:trPr>
              <w:tc>
                <w:tcPr>
                  <w:tcW w:w="12150" w:type="dxa"/>
                  <w:tcBorders>
                    <w:top w:val="nil"/>
                    <w:left w:val="nil"/>
                    <w:bottom w:val="nil"/>
                    <w:right w:val="nil"/>
                  </w:tcBorders>
                  <w:shd w:val="clear" w:color="auto" w:fill="auto"/>
                  <w:vAlign w:val="bottom"/>
                  <w:hideMark/>
                </w:tcPr>
                <w:p w:rsidR="007748CD" w:rsidRPr="007748CD" w:rsidRDefault="007748CD" w:rsidP="00E072ED">
                  <w:pPr>
                    <w:framePr w:hSpace="180" w:wrap="around" w:hAnchor="margin" w:xAlign="center" w:y="-1440"/>
                    <w:widowControl/>
                    <w:jc w:val="center"/>
                    <w:rPr>
                      <w:rFonts w:ascii="Arial Black" w:eastAsia="Times New Roman" w:hAnsi="Arial Black" w:cs="Times New Roman"/>
                      <w:color w:val="000000"/>
                      <w:sz w:val="24"/>
                      <w:szCs w:val="24"/>
                    </w:rPr>
                  </w:pPr>
                  <w:r w:rsidRPr="007748CD">
                    <w:rPr>
                      <w:rFonts w:ascii="Arial Black" w:eastAsia="Times New Roman" w:hAnsi="Arial Black" w:cs="Times New Roman"/>
                      <w:color w:val="000000"/>
                      <w:sz w:val="24"/>
                      <w:szCs w:val="24"/>
                    </w:rPr>
                    <w:t>Statement of Financial Position</w:t>
                  </w:r>
                </w:p>
              </w:tc>
            </w:tr>
          </w:tbl>
          <w:p w:rsidR="007748CD" w:rsidRPr="005A14F1" w:rsidRDefault="007748CD" w:rsidP="006946AD">
            <w:pPr>
              <w:jc w:val="center"/>
              <w:rPr>
                <w:rFonts w:ascii="Calibri" w:eastAsia="Times New Roman" w:hAnsi="Calibri" w:cs="Times New Roman"/>
                <w:b/>
                <w:bCs/>
                <w:color w:val="000000"/>
                <w:sz w:val="36"/>
                <w:szCs w:val="36"/>
              </w:rPr>
            </w:pPr>
          </w:p>
        </w:tc>
      </w:tr>
      <w:tr w:rsidR="005A14F1" w:rsidRPr="005A14F1" w:rsidTr="00554FED">
        <w:trPr>
          <w:trHeight w:val="828"/>
        </w:trPr>
        <w:tc>
          <w:tcPr>
            <w:tcW w:w="12240" w:type="dxa"/>
            <w:gridSpan w:val="7"/>
            <w:tcBorders>
              <w:top w:val="nil"/>
              <w:left w:val="nil"/>
              <w:bottom w:val="nil"/>
              <w:right w:val="nil"/>
            </w:tcBorders>
            <w:shd w:val="clear" w:color="auto" w:fill="auto"/>
            <w:hideMark/>
          </w:tcPr>
          <w:p w:rsidR="005A14F1" w:rsidRPr="005A14F1" w:rsidRDefault="005A14F1" w:rsidP="00554FED">
            <w:pPr>
              <w:widowControl/>
              <w:ind w:left="612" w:right="168"/>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b/>
                <w:bCs/>
                <w:color w:val="000000"/>
                <w:sz w:val="24"/>
                <w:szCs w:val="24"/>
              </w:rPr>
              <w:t xml:space="preserve"> Cash</w:t>
            </w:r>
            <w:r w:rsidRPr="005A14F1">
              <w:rPr>
                <w:rFonts w:ascii="Calibri" w:eastAsia="Times New Roman" w:hAnsi="Calibri" w:cs="Times New Roman"/>
                <w:color w:val="000000"/>
                <w:sz w:val="24"/>
                <w:szCs w:val="24"/>
              </w:rPr>
              <w:t xml:space="preserve"> </w:t>
            </w:r>
            <w:proofErr w:type="gramStart"/>
            <w:r w:rsidRPr="005A14F1">
              <w:rPr>
                <w:rFonts w:ascii="Calibri" w:eastAsia="Times New Roman" w:hAnsi="Calibri" w:cs="Times New Roman"/>
                <w:color w:val="000000"/>
                <w:sz w:val="24"/>
                <w:szCs w:val="24"/>
              </w:rPr>
              <w:t>-  Cash</w:t>
            </w:r>
            <w:proofErr w:type="gramEnd"/>
            <w:r w:rsidRPr="005A14F1">
              <w:rPr>
                <w:rFonts w:ascii="Calibri" w:eastAsia="Times New Roman" w:hAnsi="Calibri" w:cs="Times New Roman"/>
                <w:color w:val="000000"/>
                <w:sz w:val="24"/>
                <w:szCs w:val="24"/>
              </w:rPr>
              <w:t xml:space="preserve"> balance in the operating checking account started the year off with $316K, on November 30th checking balance at $329K. High cash balance on Sept 2nd at $479K &amp; low cash balance on July 11th at $200K.  Average daily cash balance is $339K.  </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554FED">
        <w:trPr>
          <w:trHeight w:val="3987"/>
        </w:trPr>
        <w:tc>
          <w:tcPr>
            <w:tcW w:w="810" w:type="dxa"/>
            <w:tcBorders>
              <w:top w:val="nil"/>
              <w:left w:val="nil"/>
              <w:bottom w:val="nil"/>
              <w:right w:val="nil"/>
            </w:tcBorders>
            <w:shd w:val="clear" w:color="auto" w:fill="auto"/>
            <w:hideMark/>
          </w:tcPr>
          <w:p w:rsidR="005A14F1" w:rsidRPr="005A14F1" w:rsidRDefault="005A14F1" w:rsidP="005A14F1">
            <w:pPr>
              <w:widowControl/>
              <w:rPr>
                <w:rFonts w:ascii="Wingdings" w:eastAsia="Times New Roman" w:hAnsi="Wingdings" w:cs="Times New Roman"/>
                <w:color w:val="000000"/>
                <w:sz w:val="24"/>
                <w:szCs w:val="24"/>
              </w:rPr>
            </w:pPr>
          </w:p>
        </w:tc>
        <w:tc>
          <w:tcPr>
            <w:tcW w:w="1874" w:type="dxa"/>
            <w:tcBorders>
              <w:top w:val="nil"/>
              <w:left w:val="nil"/>
              <w:bottom w:val="nil"/>
              <w:right w:val="nil"/>
            </w:tcBorders>
            <w:shd w:val="clear" w:color="auto" w:fill="auto"/>
            <w:hideMark/>
          </w:tcPr>
          <w:p w:rsidR="005A14F1" w:rsidRPr="005A14F1" w:rsidRDefault="005A14F1" w:rsidP="005A14F1">
            <w:pPr>
              <w:widowControl/>
              <w:rPr>
                <w:rFonts w:ascii="Wingdings" w:eastAsia="Times New Roman" w:hAnsi="Wingdings" w:cs="Times New Roman"/>
                <w:color w:val="000000"/>
                <w:sz w:val="24"/>
                <w:szCs w:val="24"/>
              </w:rPr>
            </w:pPr>
          </w:p>
        </w:tc>
        <w:tc>
          <w:tcPr>
            <w:tcW w:w="1186"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hideMark/>
          </w:tcPr>
          <w:p w:rsidR="005A14F1" w:rsidRPr="005A14F1" w:rsidRDefault="00554FED" w:rsidP="005A14F1">
            <w:pPr>
              <w:widowControl/>
              <w:rPr>
                <w:rFonts w:ascii="Times New Roman" w:eastAsia="Times New Roman" w:hAnsi="Times New Roman" w:cs="Times New Roman"/>
                <w:sz w:val="20"/>
                <w:szCs w:val="20"/>
              </w:rPr>
            </w:pPr>
            <w:r w:rsidRPr="005A14F1">
              <w:rPr>
                <w:rFonts w:ascii="Wingdings" w:eastAsia="Times New Roman" w:hAnsi="Wingdings" w:cs="Times New Roman"/>
                <w:noProof/>
                <w:color w:val="000000"/>
                <w:sz w:val="24"/>
                <w:szCs w:val="24"/>
              </w:rPr>
              <w:drawing>
                <wp:anchor distT="0" distB="0" distL="114300" distR="114300" simplePos="0" relativeHeight="251657216" behindDoc="0" locked="0" layoutInCell="1" allowOverlap="1" wp14:anchorId="408AA727" wp14:editId="223B6148">
                  <wp:simplePos x="0" y="0"/>
                  <wp:positionH relativeFrom="column">
                    <wp:posOffset>-5257800</wp:posOffset>
                  </wp:positionH>
                  <wp:positionV relativeFrom="paragraph">
                    <wp:posOffset>99060</wp:posOffset>
                  </wp:positionV>
                  <wp:extent cx="6362700" cy="2527999"/>
                  <wp:effectExtent l="0" t="0" r="0" b="5715"/>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tc>
        <w:tc>
          <w:tcPr>
            <w:tcW w:w="758"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r>
      <w:tr w:rsidR="005A14F1" w:rsidRPr="005A14F1" w:rsidTr="00554FED">
        <w:trPr>
          <w:trHeight w:val="1728"/>
        </w:trPr>
        <w:tc>
          <w:tcPr>
            <w:tcW w:w="12240" w:type="dxa"/>
            <w:gridSpan w:val="7"/>
            <w:tcBorders>
              <w:top w:val="nil"/>
              <w:left w:val="nil"/>
              <w:bottom w:val="nil"/>
              <w:right w:val="nil"/>
            </w:tcBorders>
            <w:shd w:val="clear" w:color="auto" w:fill="auto"/>
            <w:vAlign w:val="bottom"/>
            <w:hideMark/>
          </w:tcPr>
          <w:p w:rsidR="005A14F1" w:rsidRPr="005A14F1" w:rsidRDefault="005A14F1" w:rsidP="00554FED">
            <w:pPr>
              <w:widowControl/>
              <w:ind w:left="612" w:right="258"/>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color w:val="000000"/>
                <w:sz w:val="24"/>
                <w:szCs w:val="24"/>
              </w:rPr>
              <w:t xml:space="preserve"> </w:t>
            </w:r>
            <w:r w:rsidRPr="005A14F1">
              <w:rPr>
                <w:rFonts w:ascii="Calibri" w:eastAsia="Times New Roman" w:hAnsi="Calibri" w:cs="Times New Roman"/>
                <w:b/>
                <w:bCs/>
                <w:color w:val="000000"/>
                <w:sz w:val="24"/>
                <w:szCs w:val="24"/>
              </w:rPr>
              <w:t xml:space="preserve">Grant Receivable - </w:t>
            </w:r>
            <w:r w:rsidRPr="005A14F1">
              <w:rPr>
                <w:rFonts w:ascii="Calibri" w:eastAsia="Times New Roman" w:hAnsi="Calibri" w:cs="Times New Roman"/>
                <w:color w:val="000000"/>
                <w:sz w:val="24"/>
                <w:szCs w:val="24"/>
              </w:rPr>
              <w:t xml:space="preserve">  Grants receivable represents billed and unbilled amounts related to CCCHC's cost reimbursable and fee based government contracts. Amounts recorded are current in nature and represent eligible reimbursements under related contracts. At October 31, 2016, Grant Receivable is $246,139. Expectation is that we will collect on all receivables and no allowance for doubtful amounts has been recorded. Not aware of any issues on collectability except the $3,256 in Medicaid for recoup of 2% reduction that was booked 12/31/2015.</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Program</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right"/>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October-16</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right"/>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September-16</w:t>
            </w: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right"/>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Older</w:t>
            </w:r>
          </w:p>
        </w:tc>
        <w:tc>
          <w:tcPr>
            <w:tcW w:w="2520" w:type="dxa"/>
            <w:tcBorders>
              <w:top w:val="nil"/>
              <w:left w:val="nil"/>
              <w:bottom w:val="nil"/>
              <w:right w:val="nil"/>
            </w:tcBorders>
            <w:shd w:val="clear" w:color="auto" w:fill="auto"/>
            <w:vAlign w:val="bottom"/>
            <w:hideMark/>
          </w:tcPr>
          <w:p w:rsidR="005A14F1" w:rsidRPr="005A14F1" w:rsidRDefault="005A14F1" w:rsidP="005A14F1">
            <w:pPr>
              <w:widowControl/>
              <w:jc w:val="right"/>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Total</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right"/>
              <w:rPr>
                <w:rFonts w:ascii="Times New Roman" w:eastAsia="Times New Roman" w:hAnsi="Times New Roman" w:cs="Times New Roman"/>
                <w:b/>
                <w:bCs/>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Rural Health Network Program</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15,275 </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54,738 </w:t>
            </w: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520" w:type="dxa"/>
            <w:tcBorders>
              <w:top w:val="nil"/>
              <w:left w:val="nil"/>
              <w:bottom w:val="nil"/>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70,013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Navigator Health Exchange Program</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21,544 </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22,319 </w:t>
            </w: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520" w:type="dxa"/>
            <w:tcBorders>
              <w:top w:val="nil"/>
              <w:left w:val="nil"/>
              <w:bottom w:val="nil"/>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43,863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Tobacco-Free Program</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34,106 </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18,683 </w:t>
            </w: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520" w:type="dxa"/>
            <w:tcBorders>
              <w:top w:val="nil"/>
              <w:left w:val="nil"/>
              <w:bottom w:val="nil"/>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52,789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Cancer Services Program</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17,129 </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8,587 </w:t>
            </w: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520" w:type="dxa"/>
            <w:tcBorders>
              <w:top w:val="nil"/>
              <w:left w:val="nil"/>
              <w:bottom w:val="nil"/>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25,716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Transportation-Medicaid</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15,837 </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7,312 </w:t>
            </w: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3,256 </w:t>
            </w:r>
          </w:p>
        </w:tc>
        <w:tc>
          <w:tcPr>
            <w:tcW w:w="2520" w:type="dxa"/>
            <w:tcBorders>
              <w:top w:val="nil"/>
              <w:left w:val="nil"/>
              <w:bottom w:val="nil"/>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26,406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Other Columbia County Programs</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12,804 </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11,198 </w:t>
            </w: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520" w:type="dxa"/>
            <w:tcBorders>
              <w:top w:val="nil"/>
              <w:left w:val="nil"/>
              <w:bottom w:val="nil"/>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24,003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Greene County DSS</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3,349 </w:t>
            </w:r>
          </w:p>
        </w:tc>
        <w:tc>
          <w:tcPr>
            <w:tcW w:w="189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07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3,349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30"/>
        </w:trPr>
        <w:tc>
          <w:tcPr>
            <w:tcW w:w="810"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Total Grant Receivable</w:t>
            </w:r>
          </w:p>
        </w:tc>
        <w:tc>
          <w:tcPr>
            <w:tcW w:w="1890" w:type="dxa"/>
            <w:tcBorders>
              <w:top w:val="single" w:sz="4" w:space="0" w:color="auto"/>
              <w:left w:val="nil"/>
              <w:bottom w:val="double" w:sz="6" w:space="0" w:color="auto"/>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 $           120,045 </w:t>
            </w:r>
          </w:p>
        </w:tc>
        <w:tc>
          <w:tcPr>
            <w:tcW w:w="1890" w:type="dxa"/>
            <w:tcBorders>
              <w:top w:val="single" w:sz="4" w:space="0" w:color="auto"/>
              <w:left w:val="nil"/>
              <w:bottom w:val="double" w:sz="6" w:space="0" w:color="auto"/>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 $           122,837 </w:t>
            </w:r>
          </w:p>
        </w:tc>
        <w:tc>
          <w:tcPr>
            <w:tcW w:w="2070" w:type="dxa"/>
            <w:tcBorders>
              <w:top w:val="single" w:sz="4" w:space="0" w:color="auto"/>
              <w:left w:val="nil"/>
              <w:bottom w:val="double" w:sz="6" w:space="0" w:color="auto"/>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 $                 3,256 </w:t>
            </w:r>
          </w:p>
        </w:tc>
        <w:tc>
          <w:tcPr>
            <w:tcW w:w="2520" w:type="dxa"/>
            <w:tcBorders>
              <w:top w:val="single" w:sz="4" w:space="0" w:color="auto"/>
              <w:left w:val="nil"/>
              <w:bottom w:val="double" w:sz="6" w:space="0" w:color="auto"/>
              <w:right w:val="nil"/>
            </w:tcBorders>
            <w:shd w:val="clear" w:color="auto" w:fill="auto"/>
            <w:vAlign w:val="bottom"/>
            <w:hideMark/>
          </w:tcPr>
          <w:p w:rsidR="005A14F1" w:rsidRPr="005A14F1" w:rsidRDefault="005A14F1" w:rsidP="00745DAE">
            <w:pPr>
              <w:widowControl/>
              <w:jc w:val="right"/>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 $            246,139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p>
        </w:tc>
      </w:tr>
      <w:tr w:rsidR="00554FED" w:rsidRPr="005A14F1" w:rsidTr="00554FED">
        <w:trPr>
          <w:trHeight w:val="1005"/>
        </w:trPr>
        <w:tc>
          <w:tcPr>
            <w:tcW w:w="12240" w:type="dxa"/>
            <w:gridSpan w:val="7"/>
            <w:tcBorders>
              <w:top w:val="nil"/>
              <w:left w:val="nil"/>
              <w:bottom w:val="nil"/>
              <w:right w:val="nil"/>
            </w:tcBorders>
            <w:shd w:val="clear" w:color="auto" w:fill="auto"/>
          </w:tcPr>
          <w:p w:rsidR="00554FED" w:rsidRPr="005A14F1" w:rsidRDefault="00554FED" w:rsidP="005A14F1">
            <w:pPr>
              <w:widowControl/>
              <w:jc w:val="center"/>
              <w:rPr>
                <w:rFonts w:ascii="Wingdings" w:eastAsia="Times New Roman" w:hAnsi="Wingdings" w:cs="Times New Roman"/>
                <w:color w:val="000000"/>
                <w:sz w:val="24"/>
                <w:szCs w:val="24"/>
              </w:rPr>
            </w:pPr>
            <w:r w:rsidRPr="005A14F1">
              <w:rPr>
                <w:rFonts w:ascii="Wingdings" w:eastAsia="Times New Roman" w:hAnsi="Wingdings" w:cs="Times New Roman"/>
                <w:noProof/>
                <w:color w:val="000000"/>
                <w:sz w:val="24"/>
                <w:szCs w:val="24"/>
              </w:rPr>
              <w:drawing>
                <wp:anchor distT="0" distB="0" distL="114300" distR="114300" simplePos="0" relativeHeight="251658240" behindDoc="0" locked="0" layoutInCell="1" allowOverlap="1" wp14:anchorId="0202AA26" wp14:editId="3B4637B1">
                  <wp:simplePos x="0" y="0"/>
                  <wp:positionH relativeFrom="column">
                    <wp:posOffset>1022985</wp:posOffset>
                  </wp:positionH>
                  <wp:positionV relativeFrom="paragraph">
                    <wp:posOffset>67945</wp:posOffset>
                  </wp:positionV>
                  <wp:extent cx="6096000" cy="2630714"/>
                  <wp:effectExtent l="0" t="0" r="0" b="1778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tc>
        <w:tc>
          <w:tcPr>
            <w:tcW w:w="758" w:type="dxa"/>
            <w:tcBorders>
              <w:top w:val="nil"/>
              <w:left w:val="nil"/>
              <w:bottom w:val="nil"/>
              <w:right w:val="nil"/>
            </w:tcBorders>
            <w:shd w:val="clear" w:color="auto" w:fill="auto"/>
          </w:tcPr>
          <w:p w:rsidR="00554FED" w:rsidRPr="005A14F1" w:rsidRDefault="00554FED" w:rsidP="005A14F1">
            <w:pPr>
              <w:widowControl/>
              <w:jc w:val="center"/>
              <w:rPr>
                <w:rFonts w:ascii="Wingdings" w:eastAsia="Times New Roman" w:hAnsi="Wingdings" w:cs="Times New Roman"/>
                <w:color w:val="000000"/>
                <w:sz w:val="24"/>
                <w:szCs w:val="24"/>
              </w:rPr>
            </w:pPr>
          </w:p>
        </w:tc>
      </w:tr>
      <w:tr w:rsidR="007748CD" w:rsidRPr="005A14F1" w:rsidTr="00554FED">
        <w:trPr>
          <w:trHeight w:val="1005"/>
        </w:trPr>
        <w:tc>
          <w:tcPr>
            <w:tcW w:w="12240" w:type="dxa"/>
            <w:gridSpan w:val="7"/>
            <w:tcBorders>
              <w:top w:val="nil"/>
              <w:left w:val="nil"/>
              <w:bottom w:val="nil"/>
              <w:right w:val="nil"/>
            </w:tcBorders>
            <w:shd w:val="clear" w:color="auto" w:fill="auto"/>
          </w:tcPr>
          <w:p w:rsidR="007748CD" w:rsidRPr="005A14F1" w:rsidRDefault="007748CD" w:rsidP="00554FED">
            <w:pPr>
              <w:widowControl/>
              <w:ind w:left="522" w:right="162"/>
              <w:jc w:val="center"/>
              <w:rPr>
                <w:rFonts w:ascii="Wingdings" w:eastAsia="Times New Roman" w:hAnsi="Wingdings" w:cs="Times New Roman"/>
                <w:color w:val="000000"/>
                <w:sz w:val="24"/>
                <w:szCs w:val="24"/>
              </w:rPr>
            </w:pPr>
          </w:p>
        </w:tc>
        <w:tc>
          <w:tcPr>
            <w:tcW w:w="758" w:type="dxa"/>
            <w:tcBorders>
              <w:top w:val="nil"/>
              <w:left w:val="nil"/>
              <w:bottom w:val="nil"/>
              <w:right w:val="nil"/>
            </w:tcBorders>
            <w:shd w:val="clear" w:color="auto" w:fill="auto"/>
          </w:tcPr>
          <w:p w:rsidR="007748CD" w:rsidRPr="005A14F1" w:rsidRDefault="007748CD" w:rsidP="005A14F1">
            <w:pPr>
              <w:widowControl/>
              <w:jc w:val="center"/>
              <w:rPr>
                <w:rFonts w:ascii="Wingdings" w:eastAsia="Times New Roman" w:hAnsi="Wingdings" w:cs="Times New Roman"/>
                <w:color w:val="000000"/>
                <w:sz w:val="24"/>
                <w:szCs w:val="24"/>
              </w:rPr>
            </w:pPr>
          </w:p>
        </w:tc>
      </w:tr>
      <w:tr w:rsidR="005A14F1" w:rsidRPr="005A14F1" w:rsidTr="00554FED">
        <w:trPr>
          <w:trHeight w:val="1005"/>
        </w:trPr>
        <w:tc>
          <w:tcPr>
            <w:tcW w:w="12240" w:type="dxa"/>
            <w:gridSpan w:val="7"/>
            <w:tcBorders>
              <w:top w:val="nil"/>
              <w:left w:val="nil"/>
              <w:bottom w:val="nil"/>
              <w:right w:val="nil"/>
            </w:tcBorders>
            <w:shd w:val="clear" w:color="auto" w:fill="auto"/>
            <w:hideMark/>
          </w:tcPr>
          <w:p w:rsidR="005A14F1" w:rsidRPr="005A14F1" w:rsidRDefault="005A14F1" w:rsidP="00554FED">
            <w:pPr>
              <w:widowControl/>
              <w:ind w:left="522" w:right="162"/>
              <w:jc w:val="center"/>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b/>
                <w:bCs/>
                <w:color w:val="000000"/>
                <w:sz w:val="24"/>
                <w:szCs w:val="24"/>
              </w:rPr>
              <w:t xml:space="preserve"> Investment - </w:t>
            </w:r>
            <w:proofErr w:type="spellStart"/>
            <w:r w:rsidRPr="005A14F1">
              <w:rPr>
                <w:rFonts w:ascii="Times New Roman" w:eastAsia="Times New Roman" w:hAnsi="Times New Roman" w:cs="Times New Roman"/>
                <w:b/>
                <w:bCs/>
                <w:color w:val="000000"/>
                <w:sz w:val="24"/>
                <w:szCs w:val="24"/>
              </w:rPr>
              <w:t>Infinex</w:t>
            </w:r>
            <w:proofErr w:type="spellEnd"/>
            <w:r w:rsidRPr="005A14F1">
              <w:rPr>
                <w:rFonts w:ascii="Times New Roman" w:eastAsia="Times New Roman" w:hAnsi="Times New Roman" w:cs="Times New Roman"/>
                <w:b/>
                <w:bCs/>
                <w:color w:val="000000"/>
                <w:sz w:val="24"/>
                <w:szCs w:val="24"/>
              </w:rPr>
              <w:t xml:space="preserve"> Financial Group</w:t>
            </w:r>
            <w:r w:rsidRPr="005A14F1">
              <w:rPr>
                <w:rFonts w:ascii="Calibri" w:eastAsia="Times New Roman" w:hAnsi="Calibri" w:cs="Times New Roman"/>
                <w:color w:val="000000"/>
                <w:sz w:val="24"/>
                <w:szCs w:val="24"/>
              </w:rPr>
              <w:t xml:space="preserve"> - On October 31, 2016, the value of investments with </w:t>
            </w:r>
            <w:proofErr w:type="spellStart"/>
            <w:r w:rsidRPr="005A14F1">
              <w:rPr>
                <w:rFonts w:ascii="Calibri" w:eastAsia="Times New Roman" w:hAnsi="Calibri" w:cs="Times New Roman"/>
                <w:color w:val="000000"/>
                <w:sz w:val="24"/>
                <w:szCs w:val="24"/>
              </w:rPr>
              <w:t>Infinex</w:t>
            </w:r>
            <w:proofErr w:type="spellEnd"/>
            <w:r w:rsidRPr="005A14F1">
              <w:rPr>
                <w:rFonts w:ascii="Calibri" w:eastAsia="Times New Roman" w:hAnsi="Calibri" w:cs="Times New Roman"/>
                <w:color w:val="000000"/>
                <w:sz w:val="24"/>
                <w:szCs w:val="24"/>
              </w:rPr>
              <w:t xml:space="preserve"> Financial totals $152,036 with the </w:t>
            </w:r>
            <w:proofErr w:type="spellStart"/>
            <w:r w:rsidRPr="005A14F1">
              <w:rPr>
                <w:rFonts w:ascii="Calibri" w:eastAsia="Times New Roman" w:hAnsi="Calibri" w:cs="Times New Roman"/>
                <w:color w:val="000000"/>
                <w:sz w:val="24"/>
                <w:szCs w:val="24"/>
              </w:rPr>
              <w:t>orginial</w:t>
            </w:r>
            <w:proofErr w:type="spellEnd"/>
            <w:r w:rsidRPr="005A14F1">
              <w:rPr>
                <w:rFonts w:ascii="Calibri" w:eastAsia="Times New Roman" w:hAnsi="Calibri" w:cs="Times New Roman"/>
                <w:color w:val="000000"/>
                <w:sz w:val="24"/>
                <w:szCs w:val="24"/>
              </w:rPr>
              <w:t xml:space="preserve"> investment of $151,036. YTD Investment Income of $504 and Unrealized Gain of $496.</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single" w:sz="8" w:space="0" w:color="auto"/>
              <w:left w:val="single" w:sz="8" w:space="0" w:color="auto"/>
              <w:bottom w:val="nil"/>
              <w:right w:val="nil"/>
            </w:tcBorders>
            <w:shd w:val="clear" w:color="auto" w:fill="auto"/>
            <w:noWrap/>
            <w:vAlign w:val="bottom"/>
            <w:hideMark/>
          </w:tcPr>
          <w:p w:rsidR="005A14F1" w:rsidRPr="005A14F1" w:rsidRDefault="005A14F1" w:rsidP="005A14F1">
            <w:pPr>
              <w:widowControl/>
              <w:rPr>
                <w:rFonts w:ascii="Calibri" w:eastAsia="Times New Roman" w:hAnsi="Calibri" w:cs="Times New Roman"/>
                <w:b/>
                <w:bCs/>
                <w:color w:val="000000"/>
              </w:rPr>
            </w:pPr>
            <w:r w:rsidRPr="005A14F1">
              <w:rPr>
                <w:rFonts w:ascii="Calibri" w:eastAsia="Times New Roman" w:hAnsi="Calibri" w:cs="Times New Roman"/>
                <w:b/>
                <w:bCs/>
                <w:color w:val="000000"/>
              </w:rPr>
              <w:t> </w:t>
            </w:r>
          </w:p>
        </w:tc>
        <w:tc>
          <w:tcPr>
            <w:tcW w:w="307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Investment Description</w:t>
            </w:r>
          </w:p>
        </w:tc>
        <w:tc>
          <w:tcPr>
            <w:tcW w:w="1890" w:type="dxa"/>
            <w:tcBorders>
              <w:top w:val="single" w:sz="8" w:space="0" w:color="auto"/>
              <w:left w:val="nil"/>
              <w:bottom w:val="nil"/>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Number of</w:t>
            </w:r>
          </w:p>
        </w:tc>
        <w:tc>
          <w:tcPr>
            <w:tcW w:w="2070" w:type="dxa"/>
            <w:tcBorders>
              <w:top w:val="single" w:sz="8" w:space="0" w:color="auto"/>
              <w:left w:val="nil"/>
              <w:bottom w:val="nil"/>
              <w:right w:val="single" w:sz="8" w:space="0" w:color="auto"/>
            </w:tcBorders>
            <w:shd w:val="clear" w:color="auto" w:fill="auto"/>
            <w:noWrap/>
            <w:vAlign w:val="bottom"/>
            <w:hideMark/>
          </w:tcPr>
          <w:p w:rsidR="005A14F1" w:rsidRPr="005A14F1" w:rsidRDefault="005A14F1" w:rsidP="005A14F1">
            <w:pPr>
              <w:widowControl/>
              <w:rPr>
                <w:rFonts w:ascii="Calibri" w:eastAsia="Times New Roman" w:hAnsi="Calibri" w:cs="Times New Roman"/>
                <w:b/>
                <w:bCs/>
                <w:color w:val="000000"/>
              </w:rPr>
            </w:pPr>
            <w:r w:rsidRPr="005A14F1">
              <w:rPr>
                <w:rFonts w:ascii="Calibri" w:eastAsia="Times New Roman" w:hAnsi="Calibri" w:cs="Times New Roman"/>
                <w:b/>
                <w:bCs/>
                <w:color w:val="000000"/>
              </w:rPr>
              <w:t>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rPr>
                <w:rFonts w:ascii="Calibri" w:eastAsia="Times New Roman" w:hAnsi="Calibri" w:cs="Times New Roman"/>
                <w:b/>
                <w:bCs/>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Security</w:t>
            </w:r>
          </w:p>
        </w:tc>
        <w:tc>
          <w:tcPr>
            <w:tcW w:w="3076" w:type="dxa"/>
            <w:gridSpan w:val="2"/>
            <w:vMerge/>
            <w:tcBorders>
              <w:top w:val="nil"/>
              <w:left w:val="single" w:sz="8" w:space="0" w:color="auto"/>
              <w:bottom w:val="nil"/>
              <w:right w:val="nil"/>
            </w:tcBorders>
            <w:vAlign w:val="center"/>
            <w:hideMark/>
          </w:tcPr>
          <w:p w:rsidR="005A14F1" w:rsidRPr="005A14F1" w:rsidRDefault="005A14F1" w:rsidP="005A14F1">
            <w:pPr>
              <w:widowControl/>
              <w:rPr>
                <w:rFonts w:ascii="Calibri" w:eastAsia="Times New Roman" w:hAnsi="Calibri" w:cs="Times New Roman"/>
                <w:b/>
                <w:bCs/>
                <w:color w:val="000000"/>
              </w:rPr>
            </w:pPr>
          </w:p>
        </w:tc>
        <w:tc>
          <w:tcPr>
            <w:tcW w:w="1890" w:type="dxa"/>
            <w:tcBorders>
              <w:top w:val="nil"/>
              <w:left w:val="nil"/>
              <w:bottom w:val="nil"/>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Shares</w:t>
            </w:r>
          </w:p>
        </w:tc>
        <w:tc>
          <w:tcPr>
            <w:tcW w:w="2070" w:type="dxa"/>
            <w:tcBorders>
              <w:top w:val="nil"/>
              <w:left w:val="nil"/>
              <w:bottom w:val="nil"/>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 xml:space="preserve">Market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15"/>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8"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ID</w:t>
            </w:r>
          </w:p>
        </w:tc>
        <w:tc>
          <w:tcPr>
            <w:tcW w:w="3076" w:type="dxa"/>
            <w:gridSpan w:val="2"/>
            <w:vMerge/>
            <w:tcBorders>
              <w:top w:val="nil"/>
              <w:left w:val="single" w:sz="8" w:space="0" w:color="auto"/>
              <w:bottom w:val="single" w:sz="8" w:space="0" w:color="auto"/>
              <w:right w:val="nil"/>
            </w:tcBorders>
            <w:vAlign w:val="center"/>
            <w:hideMark/>
          </w:tcPr>
          <w:p w:rsidR="005A14F1" w:rsidRPr="005A14F1" w:rsidRDefault="005A14F1" w:rsidP="005A14F1">
            <w:pPr>
              <w:widowControl/>
              <w:rPr>
                <w:rFonts w:ascii="Calibri" w:eastAsia="Times New Roman" w:hAnsi="Calibri" w:cs="Times New Roman"/>
                <w:b/>
                <w:bCs/>
                <w:color w:val="000000"/>
              </w:rPr>
            </w:pPr>
          </w:p>
        </w:tc>
        <w:tc>
          <w:tcPr>
            <w:tcW w:w="1890" w:type="dxa"/>
            <w:tcBorders>
              <w:top w:val="nil"/>
              <w:left w:val="nil"/>
              <w:bottom w:val="single" w:sz="8"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Purchased</w:t>
            </w:r>
          </w:p>
        </w:tc>
        <w:tc>
          <w:tcPr>
            <w:tcW w:w="2070" w:type="dxa"/>
            <w:tcBorders>
              <w:top w:val="nil"/>
              <w:left w:val="nil"/>
              <w:bottom w:val="single" w:sz="8"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Value</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TEGBX</w:t>
            </w:r>
          </w:p>
        </w:tc>
        <w:tc>
          <w:tcPr>
            <w:tcW w:w="3076" w:type="dxa"/>
            <w:gridSpan w:val="2"/>
            <w:tcBorders>
              <w:top w:val="nil"/>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Templeton Global Bond Fund Class C</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1,602</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$18,628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FSGCX</w:t>
            </w:r>
          </w:p>
        </w:tc>
        <w:tc>
          <w:tcPr>
            <w:tcW w:w="3076"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 xml:space="preserve">Franklin Templeton Strategic Income Fund </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1,907</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$18,404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FCSCX</w:t>
            </w:r>
          </w:p>
        </w:tc>
        <w:tc>
          <w:tcPr>
            <w:tcW w:w="3076"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 xml:space="preserve">Franklin Adjustable US </w:t>
            </w:r>
            <w:proofErr w:type="spellStart"/>
            <w:r w:rsidRPr="005A14F1">
              <w:rPr>
                <w:rFonts w:ascii="Calibri" w:eastAsia="Times New Roman" w:hAnsi="Calibri" w:cs="Times New Roman"/>
                <w:color w:val="000000"/>
                <w:sz w:val="18"/>
                <w:szCs w:val="18"/>
              </w:rPr>
              <w:t>Govt</w:t>
            </w:r>
            <w:proofErr w:type="spellEnd"/>
            <w:r w:rsidRPr="005A14F1">
              <w:rPr>
                <w:rFonts w:ascii="Calibri" w:eastAsia="Times New Roman" w:hAnsi="Calibri" w:cs="Times New Roman"/>
                <w:color w:val="000000"/>
                <w:sz w:val="18"/>
                <w:szCs w:val="18"/>
              </w:rPr>
              <w:t xml:space="preserve"> Securities Fund</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2,165</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$18,184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FRGSX</w:t>
            </w:r>
          </w:p>
        </w:tc>
        <w:tc>
          <w:tcPr>
            <w:tcW w:w="3076"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Franklin Growth Fund Class C</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256</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$18,088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FRUGX</w:t>
            </w:r>
          </w:p>
        </w:tc>
        <w:tc>
          <w:tcPr>
            <w:tcW w:w="3076"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Franklin US Government Securities</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2,888</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$18,136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FCISX</w:t>
            </w:r>
          </w:p>
        </w:tc>
        <w:tc>
          <w:tcPr>
            <w:tcW w:w="3076"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Franklin Income Fund Class C</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8,166</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$18,456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rPr>
                <w:rFonts w:ascii="Calibri" w:eastAsia="Times New Roman" w:hAnsi="Calibri" w:cs="Times New Roman"/>
                <w:b/>
                <w:bCs/>
                <w:color w:val="000000"/>
              </w:rPr>
            </w:pPr>
            <w:r w:rsidRPr="005A14F1">
              <w:rPr>
                <w:rFonts w:ascii="Calibri" w:eastAsia="Times New Roman" w:hAnsi="Calibri" w:cs="Times New Roman"/>
                <w:b/>
                <w:bCs/>
                <w:color w:val="000000"/>
              </w:rPr>
              <w:t> </w:t>
            </w:r>
          </w:p>
        </w:tc>
        <w:tc>
          <w:tcPr>
            <w:tcW w:w="3076"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Frederick County Bancorp CD-Mat. 11/23/16</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$38,000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4" w:space="0" w:color="auto"/>
              <w:right w:val="nil"/>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rPr>
            </w:pPr>
            <w:r w:rsidRPr="005A14F1">
              <w:rPr>
                <w:rFonts w:ascii="Calibri" w:eastAsia="Times New Roman" w:hAnsi="Calibri" w:cs="Times New Roman"/>
                <w:color w:val="000000"/>
              </w:rPr>
              <w:t> </w:t>
            </w:r>
          </w:p>
        </w:tc>
        <w:tc>
          <w:tcPr>
            <w:tcW w:w="3076"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sz w:val="18"/>
                <w:szCs w:val="18"/>
              </w:rPr>
            </w:pPr>
            <w:r w:rsidRPr="005A14F1">
              <w:rPr>
                <w:rFonts w:ascii="Calibri" w:eastAsia="Times New Roman" w:hAnsi="Calibri" w:cs="Times New Roman"/>
                <w:color w:val="000000"/>
                <w:sz w:val="18"/>
                <w:szCs w:val="18"/>
              </w:rPr>
              <w:t> </w:t>
            </w:r>
          </w:p>
        </w:tc>
        <w:tc>
          <w:tcPr>
            <w:tcW w:w="189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rPr>
            </w:pPr>
            <w:r w:rsidRPr="005A14F1">
              <w:rPr>
                <w:rFonts w:ascii="Calibri" w:eastAsia="Times New Roman" w:hAnsi="Calibri" w:cs="Times New Roman"/>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w:t>
            </w: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15"/>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single" w:sz="8" w:space="0" w:color="auto"/>
              <w:bottom w:val="single" w:sz="8" w:space="0" w:color="auto"/>
              <w:right w:val="nil"/>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rPr>
            </w:pPr>
            <w:r w:rsidRPr="005A14F1">
              <w:rPr>
                <w:rFonts w:ascii="Calibri" w:eastAsia="Times New Roman" w:hAnsi="Calibri" w:cs="Times New Roman"/>
                <w:color w:val="000000"/>
              </w:rPr>
              <w:t> </w:t>
            </w:r>
          </w:p>
        </w:tc>
        <w:tc>
          <w:tcPr>
            <w:tcW w:w="3076"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Cash</w:t>
            </w:r>
          </w:p>
        </w:tc>
        <w:tc>
          <w:tcPr>
            <w:tcW w:w="1890" w:type="dxa"/>
            <w:tcBorders>
              <w:top w:val="nil"/>
              <w:left w:val="nil"/>
              <w:bottom w:val="single" w:sz="8" w:space="0" w:color="auto"/>
              <w:right w:val="single" w:sz="8" w:space="0" w:color="auto"/>
            </w:tcBorders>
            <w:shd w:val="clear" w:color="auto" w:fill="auto"/>
            <w:noWrap/>
            <w:vAlign w:val="bottom"/>
            <w:hideMark/>
          </w:tcPr>
          <w:p w:rsidR="005A14F1" w:rsidRPr="005A14F1" w:rsidRDefault="005A14F1" w:rsidP="005A14F1">
            <w:pPr>
              <w:widowControl/>
              <w:rPr>
                <w:rFonts w:ascii="Calibri" w:eastAsia="Times New Roman" w:hAnsi="Calibri" w:cs="Times New Roman"/>
                <w:color w:val="000000"/>
              </w:rPr>
            </w:pPr>
            <w:r w:rsidRPr="005A14F1">
              <w:rPr>
                <w:rFonts w:ascii="Calibri" w:eastAsia="Times New Roman" w:hAnsi="Calibri" w:cs="Times New Roman"/>
                <w:color w:val="000000"/>
              </w:rPr>
              <w:t> </w:t>
            </w:r>
          </w:p>
        </w:tc>
        <w:tc>
          <w:tcPr>
            <w:tcW w:w="2070" w:type="dxa"/>
            <w:tcBorders>
              <w:top w:val="nil"/>
              <w:left w:val="nil"/>
              <w:bottom w:val="single" w:sz="8" w:space="0" w:color="auto"/>
              <w:right w:val="single" w:sz="8"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$4,140 </w:t>
            </w:r>
          </w:p>
        </w:tc>
        <w:tc>
          <w:tcPr>
            <w:tcW w:w="2520" w:type="dxa"/>
            <w:tcBorders>
              <w:top w:val="nil"/>
              <w:left w:val="single" w:sz="4" w:space="0" w:color="auto"/>
              <w:bottom w:val="single" w:sz="4" w:space="0" w:color="auto"/>
              <w:right w:val="nil"/>
            </w:tcBorders>
            <w:shd w:val="clear" w:color="auto" w:fill="auto"/>
            <w:noWrap/>
            <w:vAlign w:val="bottom"/>
            <w:hideMark/>
          </w:tcPr>
          <w:p w:rsidR="005A14F1" w:rsidRPr="005A14F1" w:rsidRDefault="005A14F1" w:rsidP="005A14F1">
            <w:pPr>
              <w:widowControl/>
              <w:jc w:val="center"/>
              <w:rPr>
                <w:rFonts w:ascii="Arial" w:eastAsia="Times New Roman" w:hAnsi="Arial" w:cs="Arial"/>
                <w:color w:val="000000"/>
                <w:sz w:val="16"/>
                <w:szCs w:val="16"/>
              </w:rPr>
            </w:pPr>
            <w:r w:rsidRPr="005A14F1">
              <w:rPr>
                <w:rFonts w:ascii="Arial" w:eastAsia="Times New Roman" w:hAnsi="Arial" w:cs="Arial"/>
                <w:color w:val="000000"/>
                <w:sz w:val="16"/>
                <w:szCs w:val="16"/>
              </w:rPr>
              <w:t>Percent Increase</w:t>
            </w: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Arial" w:eastAsia="Times New Roman" w:hAnsi="Arial" w:cs="Arial"/>
                <w:color w:val="000000"/>
                <w:sz w:val="16"/>
                <w:szCs w:val="16"/>
              </w:rPr>
            </w:pPr>
          </w:p>
        </w:tc>
      </w:tr>
      <w:tr w:rsidR="005A14F1" w:rsidRPr="005A14F1" w:rsidTr="00554FED">
        <w:trPr>
          <w:trHeight w:val="105"/>
        </w:trPr>
        <w:tc>
          <w:tcPr>
            <w:tcW w:w="810" w:type="dxa"/>
            <w:tcBorders>
              <w:top w:val="nil"/>
              <w:left w:val="nil"/>
              <w:bottom w:val="nil"/>
              <w:right w:val="nil"/>
            </w:tcBorders>
            <w:shd w:val="clear" w:color="auto" w:fill="auto"/>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1186"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r>
      <w:tr w:rsidR="005A14F1" w:rsidRPr="005A14F1" w:rsidTr="00554FED">
        <w:trPr>
          <w:trHeight w:val="315"/>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1186"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noWrap/>
            <w:vAlign w:val="bottom"/>
            <w:hideMark/>
          </w:tcPr>
          <w:p w:rsidR="005A14F1" w:rsidRPr="005A14F1" w:rsidRDefault="005A14F1" w:rsidP="005A14F1">
            <w:pPr>
              <w:widowControl/>
              <w:jc w:val="right"/>
              <w:rPr>
                <w:rFonts w:ascii="Calibri" w:eastAsia="Times New Roman" w:hAnsi="Calibri" w:cs="Times New Roman"/>
                <w:color w:val="000000"/>
              </w:rPr>
            </w:pPr>
            <w:r w:rsidRPr="005A14F1">
              <w:rPr>
                <w:rFonts w:ascii="Calibri" w:eastAsia="Times New Roman" w:hAnsi="Calibri" w:cs="Times New Roman"/>
                <w:color w:val="000000"/>
              </w:rPr>
              <w:t>Totals</w:t>
            </w:r>
          </w:p>
        </w:tc>
        <w:tc>
          <w:tcPr>
            <w:tcW w:w="1890" w:type="dxa"/>
            <w:tcBorders>
              <w:top w:val="nil"/>
              <w:left w:val="nil"/>
              <w:bottom w:val="nil"/>
              <w:right w:val="nil"/>
            </w:tcBorders>
            <w:shd w:val="clear" w:color="auto" w:fill="auto"/>
            <w:noWrap/>
            <w:vAlign w:val="bottom"/>
            <w:hideMark/>
          </w:tcPr>
          <w:p w:rsidR="005A14F1" w:rsidRPr="005A14F1" w:rsidRDefault="005A14F1" w:rsidP="005A14F1">
            <w:pPr>
              <w:widowControl/>
              <w:jc w:val="right"/>
              <w:rPr>
                <w:rFonts w:ascii="Calibri" w:eastAsia="Times New Roman" w:hAnsi="Calibri" w:cs="Times New Roman"/>
                <w:color w:val="000000"/>
              </w:rPr>
            </w:pPr>
          </w:p>
        </w:tc>
        <w:tc>
          <w:tcPr>
            <w:tcW w:w="2070" w:type="dxa"/>
            <w:tcBorders>
              <w:top w:val="single" w:sz="4" w:space="0" w:color="auto"/>
              <w:left w:val="nil"/>
              <w:bottom w:val="double" w:sz="6" w:space="0" w:color="auto"/>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$152,036 </w:t>
            </w:r>
          </w:p>
        </w:tc>
        <w:tc>
          <w:tcPr>
            <w:tcW w:w="2520" w:type="dxa"/>
            <w:tcBorders>
              <w:top w:val="single" w:sz="4" w:space="0" w:color="auto"/>
              <w:left w:val="nil"/>
              <w:bottom w:val="double" w:sz="6" w:space="0" w:color="auto"/>
              <w:right w:val="nil"/>
            </w:tcBorders>
            <w:shd w:val="clear" w:color="auto" w:fill="auto"/>
            <w:noWrap/>
            <w:vAlign w:val="bottom"/>
            <w:hideMark/>
          </w:tcPr>
          <w:p w:rsidR="005A14F1" w:rsidRPr="005A14F1" w:rsidRDefault="005A14F1" w:rsidP="005A14F1">
            <w:pPr>
              <w:widowControl/>
              <w:jc w:val="right"/>
              <w:rPr>
                <w:rFonts w:ascii="Calibri" w:eastAsia="Times New Roman" w:hAnsi="Calibri" w:cs="Times New Roman"/>
                <w:color w:val="000000"/>
              </w:rPr>
            </w:pPr>
            <w:r w:rsidRPr="005A14F1">
              <w:rPr>
                <w:rFonts w:ascii="Calibri" w:eastAsia="Times New Roman" w:hAnsi="Calibri" w:cs="Times New Roman"/>
                <w:color w:val="000000"/>
              </w:rPr>
              <w:t>0.66%</w:t>
            </w: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right"/>
              <w:rPr>
                <w:rFonts w:ascii="Calibri" w:eastAsia="Times New Roman" w:hAnsi="Calibri" w:cs="Times New Roman"/>
                <w:color w:val="000000"/>
              </w:rPr>
            </w:pPr>
          </w:p>
        </w:tc>
      </w:tr>
      <w:tr w:rsidR="005A14F1" w:rsidRPr="005A14F1" w:rsidTr="007748CD">
        <w:trPr>
          <w:trHeight w:val="657"/>
        </w:trPr>
        <w:tc>
          <w:tcPr>
            <w:tcW w:w="12240" w:type="dxa"/>
            <w:gridSpan w:val="7"/>
            <w:tcBorders>
              <w:top w:val="nil"/>
              <w:left w:val="nil"/>
              <w:bottom w:val="nil"/>
              <w:right w:val="nil"/>
            </w:tcBorders>
            <w:shd w:val="clear" w:color="auto" w:fill="auto"/>
            <w:vAlign w:val="center"/>
            <w:hideMark/>
          </w:tcPr>
          <w:p w:rsidR="005A14F1" w:rsidRPr="005A14F1" w:rsidRDefault="005A14F1" w:rsidP="00554FED">
            <w:pPr>
              <w:widowControl/>
              <w:ind w:left="612" w:right="162"/>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b/>
                <w:bCs/>
                <w:color w:val="000000"/>
                <w:sz w:val="24"/>
                <w:szCs w:val="24"/>
              </w:rPr>
              <w:t xml:space="preserve"> Prepaid Expenses</w:t>
            </w:r>
            <w:r w:rsidRPr="005A14F1">
              <w:rPr>
                <w:rFonts w:ascii="Calibri" w:eastAsia="Times New Roman" w:hAnsi="Calibri" w:cs="Times New Roman"/>
                <w:color w:val="000000"/>
                <w:sz w:val="24"/>
                <w:szCs w:val="24"/>
              </w:rPr>
              <w:t xml:space="preserve"> - At October 31, 2016, total prepaid expenses totaled $7,134 which consisted of General Insurance, Disability Insurance, Offsite Back-up Storage, Gift Cards, Deposits, Postage.</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7748CD">
        <w:trPr>
          <w:trHeight w:val="567"/>
        </w:trPr>
        <w:tc>
          <w:tcPr>
            <w:tcW w:w="12240" w:type="dxa"/>
            <w:gridSpan w:val="7"/>
            <w:tcBorders>
              <w:top w:val="nil"/>
              <w:left w:val="nil"/>
              <w:bottom w:val="nil"/>
              <w:right w:val="nil"/>
            </w:tcBorders>
            <w:shd w:val="clear" w:color="auto" w:fill="auto"/>
            <w:vAlign w:val="bottom"/>
            <w:hideMark/>
          </w:tcPr>
          <w:p w:rsidR="005A14F1" w:rsidRPr="005A14F1" w:rsidRDefault="005A14F1" w:rsidP="00554FED">
            <w:pPr>
              <w:widowControl/>
              <w:ind w:left="612"/>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b/>
                <w:bCs/>
                <w:color w:val="000000"/>
                <w:sz w:val="24"/>
                <w:szCs w:val="24"/>
              </w:rPr>
              <w:t xml:space="preserve"> Equipment, Furniture &amp; Vehicles</w:t>
            </w:r>
            <w:r w:rsidRPr="005A14F1">
              <w:rPr>
                <w:rFonts w:ascii="Calibri" w:eastAsia="Times New Roman" w:hAnsi="Calibri" w:cs="Times New Roman"/>
                <w:color w:val="000000"/>
                <w:sz w:val="24"/>
                <w:szCs w:val="24"/>
              </w:rPr>
              <w:t xml:space="preserve"> -Agency purchased the following capital equipment. Also, Jim Funk, Transportation Coordinator, looking to purchase a new vehicle.</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single" w:sz="4" w:space="0" w:color="auto"/>
              <w:left w:val="single" w:sz="4" w:space="0" w:color="auto"/>
              <w:bottom w:val="single" w:sz="4" w:space="0" w:color="auto"/>
              <w:right w:val="single" w:sz="4" w:space="0" w:color="auto"/>
            </w:tcBorders>
            <w:shd w:val="clear" w:color="auto" w:fill="auto"/>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Month in Service</w:t>
            </w:r>
          </w:p>
        </w:tc>
        <w:tc>
          <w:tcPr>
            <w:tcW w:w="1186" w:type="dxa"/>
            <w:tcBorders>
              <w:top w:val="single" w:sz="4" w:space="0" w:color="auto"/>
              <w:left w:val="nil"/>
              <w:bottom w:val="single" w:sz="4" w:space="0" w:color="auto"/>
              <w:right w:val="single" w:sz="4" w:space="0" w:color="auto"/>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Funding Source</w:t>
            </w:r>
          </w:p>
        </w:tc>
        <w:tc>
          <w:tcPr>
            <w:tcW w:w="1890" w:type="dxa"/>
            <w:tcBorders>
              <w:top w:val="single" w:sz="4" w:space="0" w:color="auto"/>
              <w:left w:val="nil"/>
              <w:bottom w:val="single" w:sz="4" w:space="0" w:color="auto"/>
              <w:right w:val="single" w:sz="4" w:space="0" w:color="auto"/>
            </w:tcBorders>
            <w:shd w:val="clear" w:color="auto" w:fill="auto"/>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Supplier</w:t>
            </w:r>
          </w:p>
        </w:tc>
        <w:tc>
          <w:tcPr>
            <w:tcW w:w="3960" w:type="dxa"/>
            <w:gridSpan w:val="2"/>
            <w:tcBorders>
              <w:top w:val="single" w:sz="4" w:space="0" w:color="auto"/>
              <w:left w:val="nil"/>
              <w:bottom w:val="single" w:sz="4" w:space="0" w:color="auto"/>
              <w:right w:val="single" w:sz="4" w:space="0" w:color="auto"/>
            </w:tcBorders>
            <w:shd w:val="clear" w:color="auto" w:fill="auto"/>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Description</w:t>
            </w:r>
          </w:p>
        </w:tc>
        <w:tc>
          <w:tcPr>
            <w:tcW w:w="2520" w:type="dxa"/>
            <w:tcBorders>
              <w:top w:val="single" w:sz="4" w:space="0" w:color="auto"/>
              <w:left w:val="nil"/>
              <w:bottom w:val="single" w:sz="4" w:space="0" w:color="auto"/>
              <w:right w:val="single" w:sz="4" w:space="0" w:color="auto"/>
            </w:tcBorders>
            <w:shd w:val="clear" w:color="auto" w:fill="auto"/>
            <w:hideMark/>
          </w:tcPr>
          <w:p w:rsidR="005A14F1" w:rsidRPr="005A14F1" w:rsidRDefault="005A14F1" w:rsidP="005A14F1">
            <w:pPr>
              <w:widowControl/>
              <w:jc w:val="center"/>
              <w:rPr>
                <w:rFonts w:ascii="Calibri" w:eastAsia="Times New Roman" w:hAnsi="Calibri" w:cs="Times New Roman"/>
                <w:b/>
                <w:bCs/>
                <w:color w:val="000000"/>
              </w:rPr>
            </w:pPr>
            <w:r w:rsidRPr="005A14F1">
              <w:rPr>
                <w:rFonts w:ascii="Calibri" w:eastAsia="Times New Roman" w:hAnsi="Calibri" w:cs="Times New Roman"/>
                <w:b/>
                <w:bCs/>
                <w:color w:val="000000"/>
              </w:rPr>
              <w:t>Cost</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Calibri" w:eastAsia="Times New Roman" w:hAnsi="Calibri" w:cs="Times New Roman"/>
                <w:b/>
                <w:bCs/>
                <w:color w:val="000000"/>
              </w:rPr>
            </w:pPr>
          </w:p>
        </w:tc>
      </w:tr>
      <w:tr w:rsidR="005A14F1" w:rsidRPr="005A14F1" w:rsidTr="00554FED">
        <w:trPr>
          <w:trHeight w:val="6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single" w:sz="4" w:space="0" w:color="auto"/>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Apr-16</w:t>
            </w:r>
          </w:p>
        </w:tc>
        <w:tc>
          <w:tcPr>
            <w:tcW w:w="1186" w:type="dxa"/>
            <w:tcBorders>
              <w:top w:val="nil"/>
              <w:left w:val="nil"/>
              <w:bottom w:val="single" w:sz="4" w:space="0" w:color="auto"/>
              <w:right w:val="single" w:sz="4" w:space="0" w:color="auto"/>
            </w:tcBorders>
            <w:shd w:val="clear" w:color="auto" w:fill="auto"/>
            <w:noWrap/>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OFA: NY Connects</w:t>
            </w:r>
          </w:p>
        </w:tc>
        <w:tc>
          <w:tcPr>
            <w:tcW w:w="189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Intelligent Tech Solutions </w:t>
            </w:r>
          </w:p>
        </w:tc>
        <w:tc>
          <w:tcPr>
            <w:tcW w:w="3960" w:type="dxa"/>
            <w:gridSpan w:val="2"/>
            <w:tcBorders>
              <w:top w:val="single" w:sz="4" w:space="0" w:color="auto"/>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Dell </w:t>
            </w:r>
            <w:proofErr w:type="spellStart"/>
            <w:r w:rsidRPr="005A14F1">
              <w:rPr>
                <w:rFonts w:ascii="Calibri" w:eastAsia="Times New Roman" w:hAnsi="Calibri" w:cs="Times New Roman"/>
                <w:color w:val="000000"/>
              </w:rPr>
              <w:t>Optiplex</w:t>
            </w:r>
            <w:proofErr w:type="spellEnd"/>
            <w:r w:rsidRPr="005A14F1">
              <w:rPr>
                <w:rFonts w:ascii="Calibri" w:eastAsia="Times New Roman" w:hAnsi="Calibri" w:cs="Times New Roman"/>
                <w:color w:val="000000"/>
              </w:rPr>
              <w:t xml:space="preserve"> 9030 Computer</w:t>
            </w:r>
          </w:p>
        </w:tc>
        <w:tc>
          <w:tcPr>
            <w:tcW w:w="252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                        1,343 </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6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single" w:sz="4" w:space="0" w:color="auto"/>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Apr-16</w:t>
            </w:r>
          </w:p>
        </w:tc>
        <w:tc>
          <w:tcPr>
            <w:tcW w:w="1186" w:type="dxa"/>
            <w:tcBorders>
              <w:top w:val="nil"/>
              <w:left w:val="nil"/>
              <w:bottom w:val="single" w:sz="4" w:space="0" w:color="auto"/>
              <w:right w:val="single" w:sz="4" w:space="0" w:color="auto"/>
            </w:tcBorders>
            <w:shd w:val="clear" w:color="auto" w:fill="auto"/>
            <w:noWrap/>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OFA: NYC - EEP</w:t>
            </w:r>
          </w:p>
        </w:tc>
        <w:tc>
          <w:tcPr>
            <w:tcW w:w="189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Intelligent Tech Solutions </w:t>
            </w:r>
          </w:p>
        </w:tc>
        <w:tc>
          <w:tcPr>
            <w:tcW w:w="3960" w:type="dxa"/>
            <w:gridSpan w:val="2"/>
            <w:tcBorders>
              <w:top w:val="single" w:sz="4" w:space="0" w:color="auto"/>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Dell </w:t>
            </w:r>
            <w:proofErr w:type="spellStart"/>
            <w:r w:rsidRPr="005A14F1">
              <w:rPr>
                <w:rFonts w:ascii="Calibri" w:eastAsia="Times New Roman" w:hAnsi="Calibri" w:cs="Times New Roman"/>
                <w:color w:val="000000"/>
              </w:rPr>
              <w:t>Optiplex</w:t>
            </w:r>
            <w:proofErr w:type="spellEnd"/>
            <w:r w:rsidRPr="005A14F1">
              <w:rPr>
                <w:rFonts w:ascii="Calibri" w:eastAsia="Times New Roman" w:hAnsi="Calibri" w:cs="Times New Roman"/>
                <w:color w:val="000000"/>
              </w:rPr>
              <w:t xml:space="preserve"> 9030 Computer</w:t>
            </w:r>
          </w:p>
        </w:tc>
        <w:tc>
          <w:tcPr>
            <w:tcW w:w="252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1,210 </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9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single" w:sz="4" w:space="0" w:color="auto"/>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Jul-16</w:t>
            </w:r>
          </w:p>
        </w:tc>
        <w:tc>
          <w:tcPr>
            <w:tcW w:w="1186" w:type="dxa"/>
            <w:tcBorders>
              <w:top w:val="nil"/>
              <w:left w:val="nil"/>
              <w:bottom w:val="single" w:sz="4" w:space="0" w:color="auto"/>
              <w:right w:val="single" w:sz="4" w:space="0" w:color="auto"/>
            </w:tcBorders>
            <w:shd w:val="clear" w:color="auto" w:fill="auto"/>
            <w:noWrap/>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OFA: NYC - EEP</w:t>
            </w:r>
          </w:p>
        </w:tc>
        <w:tc>
          <w:tcPr>
            <w:tcW w:w="189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Standard Commercial Interiors </w:t>
            </w:r>
          </w:p>
        </w:tc>
        <w:tc>
          <w:tcPr>
            <w:tcW w:w="3960" w:type="dxa"/>
            <w:gridSpan w:val="2"/>
            <w:tcBorders>
              <w:top w:val="single" w:sz="4" w:space="0" w:color="auto"/>
              <w:left w:val="nil"/>
              <w:bottom w:val="single" w:sz="4" w:space="0" w:color="auto"/>
              <w:right w:val="single" w:sz="4" w:space="0" w:color="000000"/>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Workstation/Desk</w:t>
            </w:r>
          </w:p>
        </w:tc>
        <w:tc>
          <w:tcPr>
            <w:tcW w:w="252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1,319 </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6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single" w:sz="4" w:space="0" w:color="auto"/>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Aug-16</w:t>
            </w:r>
          </w:p>
        </w:tc>
        <w:tc>
          <w:tcPr>
            <w:tcW w:w="1186" w:type="dxa"/>
            <w:tcBorders>
              <w:top w:val="nil"/>
              <w:left w:val="nil"/>
              <w:bottom w:val="single" w:sz="4" w:space="0" w:color="auto"/>
              <w:right w:val="single" w:sz="4" w:space="0" w:color="auto"/>
            </w:tcBorders>
            <w:shd w:val="clear" w:color="auto" w:fill="auto"/>
            <w:noWrap/>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Navigator Program</w:t>
            </w:r>
          </w:p>
        </w:tc>
        <w:tc>
          <w:tcPr>
            <w:tcW w:w="189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Intelligent Tech Solutions </w:t>
            </w:r>
          </w:p>
        </w:tc>
        <w:tc>
          <w:tcPr>
            <w:tcW w:w="3960" w:type="dxa"/>
            <w:gridSpan w:val="2"/>
            <w:tcBorders>
              <w:top w:val="single" w:sz="4" w:space="0" w:color="auto"/>
              <w:left w:val="nil"/>
              <w:bottom w:val="single" w:sz="4" w:space="0" w:color="auto"/>
              <w:right w:val="single" w:sz="4" w:space="0" w:color="000000"/>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Dell 5000 Series Laptop</w:t>
            </w:r>
          </w:p>
        </w:tc>
        <w:tc>
          <w:tcPr>
            <w:tcW w:w="252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1,866 </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6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single" w:sz="4" w:space="0" w:color="auto"/>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Aug-16</w:t>
            </w:r>
          </w:p>
        </w:tc>
        <w:tc>
          <w:tcPr>
            <w:tcW w:w="1186"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Cancer Services Program</w:t>
            </w:r>
          </w:p>
        </w:tc>
        <w:tc>
          <w:tcPr>
            <w:tcW w:w="189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Intelligent Tech Solutions </w:t>
            </w:r>
          </w:p>
        </w:tc>
        <w:tc>
          <w:tcPr>
            <w:tcW w:w="3960" w:type="dxa"/>
            <w:gridSpan w:val="2"/>
            <w:tcBorders>
              <w:top w:val="single" w:sz="4" w:space="0" w:color="auto"/>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Dell </w:t>
            </w:r>
            <w:proofErr w:type="spellStart"/>
            <w:r w:rsidRPr="005A14F1">
              <w:rPr>
                <w:rFonts w:ascii="Calibri" w:eastAsia="Times New Roman" w:hAnsi="Calibri" w:cs="Times New Roman"/>
                <w:color w:val="000000"/>
              </w:rPr>
              <w:t>Optiplex</w:t>
            </w:r>
            <w:proofErr w:type="spellEnd"/>
            <w:r w:rsidRPr="005A14F1">
              <w:rPr>
                <w:rFonts w:ascii="Calibri" w:eastAsia="Times New Roman" w:hAnsi="Calibri" w:cs="Times New Roman"/>
                <w:color w:val="000000"/>
              </w:rPr>
              <w:t xml:space="preserve"> 24 Computer</w:t>
            </w:r>
          </w:p>
        </w:tc>
        <w:tc>
          <w:tcPr>
            <w:tcW w:w="2520" w:type="dxa"/>
            <w:tcBorders>
              <w:top w:val="nil"/>
              <w:left w:val="nil"/>
              <w:bottom w:val="single" w:sz="4" w:space="0" w:color="auto"/>
              <w:right w:val="single" w:sz="4" w:space="0" w:color="auto"/>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                            1,388 </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00"/>
        </w:trPr>
        <w:tc>
          <w:tcPr>
            <w:tcW w:w="81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186"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hideMark/>
          </w:tcPr>
          <w:p w:rsidR="005A14F1" w:rsidRPr="005A14F1" w:rsidRDefault="005A14F1" w:rsidP="005A14F1">
            <w:pPr>
              <w:widowControl/>
              <w:jc w:val="right"/>
              <w:rPr>
                <w:rFonts w:ascii="Calibri" w:eastAsia="Times New Roman" w:hAnsi="Calibri" w:cs="Times New Roman"/>
                <w:color w:val="000000"/>
              </w:rPr>
            </w:pPr>
            <w:r w:rsidRPr="005A14F1">
              <w:rPr>
                <w:rFonts w:ascii="Calibri" w:eastAsia="Times New Roman" w:hAnsi="Calibri" w:cs="Times New Roman"/>
                <w:color w:val="000000"/>
              </w:rPr>
              <w:t>Total</w:t>
            </w:r>
          </w:p>
        </w:tc>
        <w:tc>
          <w:tcPr>
            <w:tcW w:w="2520" w:type="dxa"/>
            <w:tcBorders>
              <w:top w:val="nil"/>
              <w:left w:val="single" w:sz="4" w:space="0" w:color="auto"/>
              <w:bottom w:val="single" w:sz="4" w:space="0" w:color="auto"/>
              <w:right w:val="single" w:sz="4" w:space="0" w:color="auto"/>
            </w:tcBorders>
            <w:shd w:val="clear" w:color="auto" w:fill="auto"/>
            <w:hideMark/>
          </w:tcPr>
          <w:p w:rsidR="005A14F1" w:rsidRPr="005A14F1" w:rsidRDefault="005A14F1" w:rsidP="005A14F1">
            <w:pPr>
              <w:widowControl/>
              <w:rPr>
                <w:rFonts w:ascii="Calibri" w:eastAsia="Times New Roman" w:hAnsi="Calibri" w:cs="Times New Roman"/>
                <w:color w:val="000000"/>
              </w:rPr>
            </w:pPr>
            <w:r w:rsidRPr="005A14F1">
              <w:rPr>
                <w:rFonts w:ascii="Calibri" w:eastAsia="Times New Roman" w:hAnsi="Calibri" w:cs="Times New Roman"/>
                <w:color w:val="000000"/>
              </w:rPr>
              <w:t xml:space="preserve"> $                        7,126 </w:t>
            </w:r>
          </w:p>
        </w:tc>
        <w:tc>
          <w:tcPr>
            <w:tcW w:w="758" w:type="dxa"/>
            <w:tcBorders>
              <w:top w:val="nil"/>
              <w:left w:val="nil"/>
              <w:bottom w:val="nil"/>
              <w:right w:val="nil"/>
            </w:tcBorders>
            <w:shd w:val="clear" w:color="auto" w:fill="auto"/>
            <w:hideMark/>
          </w:tcPr>
          <w:p w:rsidR="005A14F1" w:rsidRPr="005A14F1" w:rsidRDefault="005A14F1" w:rsidP="005A14F1">
            <w:pPr>
              <w:widowControl/>
              <w:rPr>
                <w:rFonts w:ascii="Calibri" w:eastAsia="Times New Roman" w:hAnsi="Calibri" w:cs="Times New Roman"/>
                <w:color w:val="000000"/>
              </w:rPr>
            </w:pPr>
          </w:p>
        </w:tc>
      </w:tr>
      <w:tr w:rsidR="005A14F1" w:rsidRPr="005A14F1" w:rsidTr="007748CD">
        <w:trPr>
          <w:trHeight w:val="845"/>
        </w:trPr>
        <w:tc>
          <w:tcPr>
            <w:tcW w:w="12240" w:type="dxa"/>
            <w:gridSpan w:val="7"/>
            <w:tcBorders>
              <w:top w:val="nil"/>
              <w:left w:val="nil"/>
              <w:bottom w:val="nil"/>
              <w:right w:val="nil"/>
            </w:tcBorders>
            <w:shd w:val="clear" w:color="auto" w:fill="auto"/>
            <w:hideMark/>
          </w:tcPr>
          <w:p w:rsidR="005A14F1" w:rsidRPr="005A14F1" w:rsidRDefault="005A14F1" w:rsidP="00554FED">
            <w:pPr>
              <w:widowControl/>
              <w:ind w:left="612"/>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b/>
                <w:bCs/>
                <w:color w:val="000000"/>
                <w:sz w:val="24"/>
                <w:szCs w:val="24"/>
              </w:rPr>
              <w:t xml:space="preserve">Accounts Payable - </w:t>
            </w:r>
            <w:r w:rsidRPr="005A14F1">
              <w:rPr>
                <w:rFonts w:ascii="Calibri" w:eastAsia="Times New Roman" w:hAnsi="Calibri" w:cs="Times New Roman"/>
                <w:color w:val="000000"/>
                <w:sz w:val="24"/>
                <w:szCs w:val="24"/>
              </w:rPr>
              <w:t>At October 31, 2016, accounts payable lability is $38,043 and all AP liability is being paid timely within 28 days except CSP Clinical Services which gets paid once NYS pays CCCHC. The following is a list of vendors who</w:t>
            </w:r>
            <w:r w:rsidR="00554FED">
              <w:rPr>
                <w:rFonts w:ascii="Calibri" w:eastAsia="Times New Roman" w:hAnsi="Calibri" w:cs="Times New Roman"/>
                <w:color w:val="000000"/>
                <w:sz w:val="24"/>
                <w:szCs w:val="24"/>
              </w:rPr>
              <w:t>se</w:t>
            </w:r>
            <w:r w:rsidRPr="005A14F1">
              <w:rPr>
                <w:rFonts w:ascii="Calibri" w:eastAsia="Times New Roman" w:hAnsi="Calibri" w:cs="Times New Roman"/>
                <w:color w:val="000000"/>
                <w:sz w:val="24"/>
                <w:szCs w:val="24"/>
              </w:rPr>
              <w:t xml:space="preserve"> liability exceed $1,000. </w:t>
            </w:r>
          </w:p>
        </w:tc>
        <w:tc>
          <w:tcPr>
            <w:tcW w:w="758" w:type="dxa"/>
            <w:tcBorders>
              <w:top w:val="nil"/>
              <w:left w:val="nil"/>
              <w:bottom w:val="nil"/>
              <w:right w:val="nil"/>
            </w:tcBorders>
            <w:shd w:val="clear" w:color="auto" w:fill="auto"/>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American Lung Association</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7,975 </w:t>
            </w:r>
          </w:p>
        </w:tc>
        <w:tc>
          <w:tcPr>
            <w:tcW w:w="4590" w:type="dxa"/>
            <w:gridSpan w:val="2"/>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Statewide Advertising-Tobacco</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Johnson Newspaper</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3,000 </w:t>
            </w:r>
          </w:p>
        </w:tc>
        <w:tc>
          <w:tcPr>
            <w:tcW w:w="4590" w:type="dxa"/>
            <w:gridSpan w:val="2"/>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Cancer Awareness Advertising-CSP</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Matt's Signs</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2,972 </w:t>
            </w:r>
          </w:p>
        </w:tc>
        <w:tc>
          <w:tcPr>
            <w:tcW w:w="4590" w:type="dxa"/>
            <w:gridSpan w:val="2"/>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No Smoking Signs - Tobacco</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Columbia County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2,060 </w:t>
            </w:r>
          </w:p>
        </w:tc>
        <w:tc>
          <w:tcPr>
            <w:tcW w:w="4590" w:type="dxa"/>
            <w:gridSpan w:val="2"/>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 xml:space="preserve">Vehicle Fuel, Lease </w:t>
            </w:r>
            <w:proofErr w:type="spellStart"/>
            <w:r w:rsidRPr="005A14F1">
              <w:rPr>
                <w:rFonts w:ascii="Calibri" w:eastAsia="Times New Roman" w:hAnsi="Calibri" w:cs="Times New Roman"/>
                <w:color w:val="000000"/>
              </w:rPr>
              <w:t>Paymt</w:t>
            </w:r>
            <w:proofErr w:type="spellEnd"/>
            <w:r w:rsidRPr="005A14F1">
              <w:rPr>
                <w:rFonts w:ascii="Calibri" w:eastAsia="Times New Roman" w:hAnsi="Calibri" w:cs="Times New Roman"/>
                <w:color w:val="000000"/>
              </w:rPr>
              <w:t xml:space="preserve"> &amp; Repairs</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Golub Corp/Price Chopper</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1,207 </w:t>
            </w:r>
          </w:p>
        </w:tc>
        <w:tc>
          <w:tcPr>
            <w:tcW w:w="4590" w:type="dxa"/>
            <w:gridSpan w:val="2"/>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Rx Prescriptions</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Manpower</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1,005 </w:t>
            </w:r>
          </w:p>
        </w:tc>
        <w:tc>
          <w:tcPr>
            <w:tcW w:w="4590" w:type="dxa"/>
            <w:gridSpan w:val="2"/>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Temporary Worker: Receptionist</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Various Medical Providers</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11,549 </w:t>
            </w:r>
          </w:p>
        </w:tc>
        <w:tc>
          <w:tcPr>
            <w:tcW w:w="4590" w:type="dxa"/>
            <w:gridSpan w:val="2"/>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Calibri" w:eastAsia="Times New Roman" w:hAnsi="Calibri" w:cs="Times New Roman"/>
                <w:color w:val="000000"/>
              </w:rPr>
            </w:pPr>
            <w:r w:rsidRPr="005A14F1">
              <w:rPr>
                <w:rFonts w:ascii="Calibri" w:eastAsia="Times New Roman" w:hAnsi="Calibri" w:cs="Times New Roman"/>
                <w:color w:val="000000"/>
              </w:rPr>
              <w:t>CSP Clinical Serices-Aug-Oct'16</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Calibri" w:eastAsia="Times New Roman" w:hAnsi="Calibri" w:cs="Times New Roman"/>
                <w:color w:val="000000"/>
              </w:rPr>
            </w:pPr>
          </w:p>
        </w:tc>
      </w:tr>
      <w:tr w:rsidR="005A14F1" w:rsidRPr="005A14F1" w:rsidTr="00554FED">
        <w:trPr>
          <w:trHeight w:val="330"/>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76"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Total AP from Above </w:t>
            </w:r>
          </w:p>
        </w:tc>
        <w:tc>
          <w:tcPr>
            <w:tcW w:w="189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29,768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r>
      <w:tr w:rsidR="005A14F1" w:rsidRPr="005A14F1" w:rsidTr="007748CD">
        <w:trPr>
          <w:trHeight w:val="1998"/>
        </w:trPr>
        <w:tc>
          <w:tcPr>
            <w:tcW w:w="12240" w:type="dxa"/>
            <w:gridSpan w:val="7"/>
            <w:tcBorders>
              <w:top w:val="nil"/>
              <w:left w:val="nil"/>
              <w:bottom w:val="nil"/>
              <w:right w:val="nil"/>
            </w:tcBorders>
            <w:shd w:val="clear" w:color="auto" w:fill="auto"/>
            <w:vAlign w:val="bottom"/>
            <w:hideMark/>
          </w:tcPr>
          <w:p w:rsidR="005A14F1" w:rsidRPr="005A14F1" w:rsidRDefault="005A14F1" w:rsidP="00554FED">
            <w:pPr>
              <w:widowControl/>
              <w:ind w:left="612"/>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color w:val="000000"/>
                <w:sz w:val="24"/>
                <w:szCs w:val="24"/>
              </w:rPr>
              <w:t xml:space="preserve"> </w:t>
            </w:r>
            <w:r w:rsidRPr="005A14F1">
              <w:rPr>
                <w:rFonts w:ascii="Calibri" w:eastAsia="Times New Roman" w:hAnsi="Calibri" w:cs="Times New Roman"/>
                <w:b/>
                <w:bCs/>
                <w:color w:val="000000"/>
                <w:sz w:val="24"/>
                <w:szCs w:val="24"/>
              </w:rPr>
              <w:t>Advance Funding Payable</w:t>
            </w:r>
            <w:r w:rsidRPr="005A14F1">
              <w:rPr>
                <w:rFonts w:ascii="Calibri" w:eastAsia="Times New Roman" w:hAnsi="Calibri" w:cs="Times New Roman"/>
                <w:color w:val="000000"/>
                <w:sz w:val="24"/>
                <w:szCs w:val="24"/>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October 31, 2016,</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554FED">
        <w:trPr>
          <w:trHeight w:val="94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Program Name</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Beginning Balance at January 1st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Contributions</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&lt;Recognize Revenue&gt;</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Ending Balance at Oct. 31, 2016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Foundation for Community Health</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ind w:firstLineChars="200" w:firstLine="480"/>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Prescription Rx Access</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10,445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7,125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(4,579)</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12,991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ind w:firstLineChars="200" w:firstLine="480"/>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Transportation: </w:t>
            </w:r>
            <w:proofErr w:type="spellStart"/>
            <w:r w:rsidRPr="005A14F1">
              <w:rPr>
                <w:rFonts w:ascii="Times New Roman" w:eastAsia="Times New Roman" w:hAnsi="Times New Roman" w:cs="Times New Roman"/>
                <w:color w:val="000000"/>
                <w:sz w:val="24"/>
                <w:szCs w:val="24"/>
              </w:rPr>
              <w:t>Acram</w:t>
            </w:r>
            <w:proofErr w:type="spellEnd"/>
            <w:r w:rsidRPr="005A14F1">
              <w:rPr>
                <w:rFonts w:ascii="Times New Roman" w:eastAsia="Times New Roman" w:hAnsi="Times New Roman" w:cs="Times New Roman"/>
                <w:color w:val="000000"/>
                <w:sz w:val="24"/>
                <w:szCs w:val="24"/>
              </w:rPr>
              <w:t>/Copake</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25,000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(19,880)</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5,120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ind w:firstLineChars="200" w:firstLine="480"/>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Children's Mental Health Project</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20,238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(17,263)</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2,975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Dyson Foundation</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b/>
                <w:bCs/>
                <w:color w:val="000000"/>
                <w:sz w:val="24"/>
                <w:szCs w:val="24"/>
              </w:rPr>
            </w:pP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ind w:firstLineChars="200" w:firstLine="480"/>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Prescription Rx Access</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25,000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(21,971)</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3,029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NYS Grant Advances</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b/>
                <w:bCs/>
                <w:color w:val="000000"/>
                <w:sz w:val="24"/>
                <w:szCs w:val="24"/>
              </w:rPr>
            </w:pP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ind w:firstLineChars="200" w:firstLine="480"/>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Cancer Services Program</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5,060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35,000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(25,924)</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14,136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ind w:firstLineChars="200" w:firstLine="480"/>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Tobacco Free Program</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40,565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79,750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(64,527)</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55,788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0"/>
                <w:szCs w:val="20"/>
              </w:rPr>
            </w:pPr>
            <w:r w:rsidRPr="005A14F1">
              <w:rPr>
                <w:rFonts w:ascii="Times New Roman" w:eastAsia="Times New Roman" w:hAnsi="Times New Roman" w:cs="Times New Roman"/>
                <w:color w:val="000000"/>
                <w:sz w:val="20"/>
                <w:szCs w:val="20"/>
              </w:rPr>
              <w:t>Health &amp; Recovery Plan (HCBS-HARP)</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0"/>
                <w:szCs w:val="20"/>
              </w:rPr>
            </w:pP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49,850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49,850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Total Advance Funding Payable</w:t>
            </w:r>
          </w:p>
        </w:tc>
        <w:tc>
          <w:tcPr>
            <w:tcW w:w="189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76,308 </w:t>
            </w:r>
          </w:p>
        </w:tc>
        <w:tc>
          <w:tcPr>
            <w:tcW w:w="189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221,725 </w:t>
            </w:r>
          </w:p>
        </w:tc>
        <w:tc>
          <w:tcPr>
            <w:tcW w:w="207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(154,144)</w:t>
            </w:r>
          </w:p>
        </w:tc>
        <w:tc>
          <w:tcPr>
            <w:tcW w:w="252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143,889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7748CD">
        <w:trPr>
          <w:trHeight w:val="1440"/>
        </w:trPr>
        <w:tc>
          <w:tcPr>
            <w:tcW w:w="12240" w:type="dxa"/>
            <w:gridSpan w:val="7"/>
            <w:tcBorders>
              <w:top w:val="nil"/>
              <w:left w:val="nil"/>
              <w:bottom w:val="nil"/>
              <w:right w:val="nil"/>
            </w:tcBorders>
            <w:shd w:val="clear" w:color="auto" w:fill="auto"/>
            <w:vAlign w:val="bottom"/>
            <w:hideMark/>
          </w:tcPr>
          <w:p w:rsidR="005A14F1" w:rsidRPr="005A14F1" w:rsidRDefault="005A14F1" w:rsidP="00554FED">
            <w:pPr>
              <w:widowControl/>
              <w:ind w:left="612"/>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color w:val="000000"/>
                <w:sz w:val="24"/>
                <w:szCs w:val="24"/>
              </w:rPr>
              <w:t xml:space="preserve"> </w:t>
            </w:r>
            <w:r w:rsidRPr="005A14F1">
              <w:rPr>
                <w:rFonts w:ascii="Calibri" w:eastAsia="Times New Roman" w:hAnsi="Calibri" w:cs="Times New Roman"/>
                <w:b/>
                <w:bCs/>
                <w:color w:val="000000"/>
                <w:sz w:val="24"/>
                <w:szCs w:val="24"/>
              </w:rPr>
              <w:t>Temporary Restricted Net Assets</w:t>
            </w:r>
            <w:r w:rsidRPr="005A14F1">
              <w:rPr>
                <w:rFonts w:ascii="Calibri" w:eastAsia="Times New Roman" w:hAnsi="Calibri" w:cs="Times New Roman"/>
                <w:color w:val="000000"/>
                <w:sz w:val="24"/>
                <w:szCs w:val="24"/>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Oct. 31, 2016: </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7748CD">
        <w:trPr>
          <w:trHeight w:val="972"/>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Program Name</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Beginning Balance at January 1st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Contributions</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&lt;Assets Released from Temporary Restrictions&gt;</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 xml:space="preserve">Ending Balance at Oct. 31, 2016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b/>
                <w:bCs/>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Columbia County</w:t>
            </w:r>
            <w:r w:rsidRPr="005A14F1">
              <w:rPr>
                <w:rFonts w:ascii="Times New Roman" w:eastAsia="Times New Roman" w:hAnsi="Times New Roman" w:cs="Times New Roman"/>
                <w:color w:val="000000"/>
              </w:rPr>
              <w:t xml:space="preserve"> -</w:t>
            </w:r>
            <w:r w:rsidRPr="005A14F1">
              <w:rPr>
                <w:rFonts w:ascii="Times New Roman" w:eastAsia="Times New Roman" w:hAnsi="Times New Roman" w:cs="Times New Roman"/>
                <w:color w:val="000000"/>
                <w:sz w:val="18"/>
                <w:szCs w:val="18"/>
              </w:rPr>
              <w:t>CARTS &amp; Receptionist</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49,000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(40,833)</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8,167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Columbia County Depts.-CARTS</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19,000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(15,833)</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3,167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Columbia County Cancer Fund</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11,831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3,681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(9,473)</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6,039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Greene County Cancer Fund</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8,690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3,478 </w:t>
            </w: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(3,077)</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9,091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Complementary Therapies</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6,955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(1,100)</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5,855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Jan Koweek Fund</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901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901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rPr>
                <w:rFonts w:ascii="Times New Roman" w:eastAsia="Times New Roman" w:hAnsi="Times New Roman" w:cs="Times New Roman"/>
                <w:color w:val="000000"/>
              </w:rPr>
            </w:pPr>
            <w:r w:rsidRPr="005A14F1">
              <w:rPr>
                <w:rFonts w:ascii="Times New Roman" w:eastAsia="Times New Roman" w:hAnsi="Times New Roman" w:cs="Times New Roman"/>
                <w:color w:val="000000"/>
              </w:rPr>
              <w:t>Galvan Foundation-Bengali Community</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10,470 </w:t>
            </w: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(6,686)</w:t>
            </w: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3,784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31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b/>
                <w:bCs/>
                <w:color w:val="000000"/>
                <w:sz w:val="24"/>
                <w:szCs w:val="24"/>
              </w:rPr>
            </w:pPr>
            <w:r w:rsidRPr="005A14F1">
              <w:rPr>
                <w:rFonts w:ascii="Times New Roman" w:eastAsia="Times New Roman" w:hAnsi="Times New Roman" w:cs="Times New Roman"/>
                <w:b/>
                <w:bCs/>
                <w:color w:val="000000"/>
                <w:sz w:val="24"/>
                <w:szCs w:val="24"/>
              </w:rPr>
              <w:t>Totals of Temporary Restricted Funds</w:t>
            </w:r>
          </w:p>
        </w:tc>
        <w:tc>
          <w:tcPr>
            <w:tcW w:w="189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38,847 </w:t>
            </w:r>
          </w:p>
        </w:tc>
        <w:tc>
          <w:tcPr>
            <w:tcW w:w="189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75,159 </w:t>
            </w:r>
          </w:p>
        </w:tc>
        <w:tc>
          <w:tcPr>
            <w:tcW w:w="207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(77,002)</w:t>
            </w:r>
          </w:p>
        </w:tc>
        <w:tc>
          <w:tcPr>
            <w:tcW w:w="2520" w:type="dxa"/>
            <w:tcBorders>
              <w:top w:val="single" w:sz="4" w:space="0" w:color="auto"/>
              <w:left w:val="nil"/>
              <w:bottom w:val="double" w:sz="6" w:space="0" w:color="auto"/>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r w:rsidRPr="005A14F1">
              <w:rPr>
                <w:rFonts w:ascii="Times New Roman" w:eastAsia="Times New Roman" w:hAnsi="Times New Roman" w:cs="Times New Roman"/>
                <w:color w:val="000000"/>
                <w:sz w:val="24"/>
                <w:szCs w:val="24"/>
              </w:rPr>
              <w:t xml:space="preserve"> $              37,004 </w:t>
            </w: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color w:val="000000"/>
                <w:sz w:val="24"/>
                <w:szCs w:val="24"/>
              </w:rPr>
            </w:pPr>
          </w:p>
        </w:tc>
      </w:tr>
      <w:tr w:rsidR="005A14F1" w:rsidRPr="005A14F1" w:rsidTr="00554FED">
        <w:trPr>
          <w:trHeight w:val="135"/>
        </w:trPr>
        <w:tc>
          <w:tcPr>
            <w:tcW w:w="81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1186"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right"/>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758" w:type="dxa"/>
            <w:tcBorders>
              <w:top w:val="nil"/>
              <w:left w:val="nil"/>
              <w:bottom w:val="nil"/>
              <w:right w:val="nil"/>
            </w:tcBorders>
            <w:shd w:val="clear" w:color="auto" w:fill="auto"/>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r>
      <w:tr w:rsidR="005A14F1" w:rsidRPr="005A14F1" w:rsidTr="00554FED">
        <w:trPr>
          <w:trHeight w:val="750"/>
        </w:trPr>
        <w:tc>
          <w:tcPr>
            <w:tcW w:w="12240" w:type="dxa"/>
            <w:gridSpan w:val="7"/>
            <w:tcBorders>
              <w:top w:val="nil"/>
              <w:left w:val="nil"/>
              <w:bottom w:val="nil"/>
              <w:right w:val="nil"/>
            </w:tcBorders>
            <w:shd w:val="clear" w:color="auto" w:fill="auto"/>
            <w:vAlign w:val="bottom"/>
            <w:hideMark/>
          </w:tcPr>
          <w:p w:rsidR="005A14F1" w:rsidRPr="005A14F1" w:rsidRDefault="005A14F1" w:rsidP="00554FED">
            <w:pPr>
              <w:widowControl/>
              <w:ind w:left="612"/>
              <w:rPr>
                <w:rFonts w:ascii="Wingdings" w:eastAsia="Times New Roman" w:hAnsi="Wingdings" w:cs="Times New Roman"/>
                <w:color w:val="000000"/>
                <w:sz w:val="24"/>
                <w:szCs w:val="24"/>
              </w:rPr>
            </w:pPr>
            <w:r w:rsidRPr="005A14F1">
              <w:rPr>
                <w:rFonts w:ascii="Wingdings" w:eastAsia="Times New Roman" w:hAnsi="Wingdings" w:cs="Times New Roman"/>
                <w:color w:val="000000"/>
                <w:sz w:val="24"/>
                <w:szCs w:val="24"/>
              </w:rPr>
              <w:t></w:t>
            </w:r>
            <w:r w:rsidRPr="005A14F1">
              <w:rPr>
                <w:rFonts w:ascii="Times New Roman" w:eastAsia="Times New Roman" w:hAnsi="Times New Roman" w:cs="Times New Roman"/>
                <w:color w:val="000000"/>
                <w:sz w:val="24"/>
                <w:szCs w:val="24"/>
              </w:rPr>
              <w:t xml:space="preserve"> </w:t>
            </w:r>
            <w:r w:rsidRPr="005A14F1">
              <w:rPr>
                <w:rFonts w:ascii="Times New Roman" w:eastAsia="Times New Roman" w:hAnsi="Times New Roman" w:cs="Times New Roman"/>
                <w:b/>
                <w:bCs/>
                <w:color w:val="000000"/>
                <w:sz w:val="24"/>
                <w:szCs w:val="24"/>
              </w:rPr>
              <w:t>Change in Unrestricted Net Assets</w:t>
            </w:r>
            <w:r w:rsidRPr="005A14F1">
              <w:rPr>
                <w:rFonts w:ascii="Calibri" w:eastAsia="Times New Roman" w:hAnsi="Calibri" w:cs="Times New Roman"/>
                <w:color w:val="000000"/>
                <w:sz w:val="24"/>
                <w:szCs w:val="24"/>
              </w:rPr>
              <w:t xml:space="preserve"> - For the ten months ending October</w:t>
            </w:r>
            <w:r w:rsidR="00554FED">
              <w:rPr>
                <w:rFonts w:ascii="Calibri" w:eastAsia="Times New Roman" w:hAnsi="Calibri" w:cs="Times New Roman"/>
                <w:color w:val="000000"/>
                <w:sz w:val="24"/>
                <w:szCs w:val="24"/>
              </w:rPr>
              <w:t xml:space="preserve"> 31, 2016, increase of $37,440 </w:t>
            </w:r>
            <w:r w:rsidRPr="005A14F1">
              <w:rPr>
                <w:rFonts w:ascii="Calibri" w:eastAsia="Times New Roman" w:hAnsi="Calibri" w:cs="Times New Roman"/>
                <w:color w:val="000000"/>
                <w:sz w:val="24"/>
                <w:szCs w:val="24"/>
              </w:rPr>
              <w:t>with Total Revenue of $1,405,483 and Total Expenses of $1,368,043.</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Wingdings" w:eastAsia="Times New Roman" w:hAnsi="Wingdings" w:cs="Times New Roman"/>
                <w:color w:val="000000"/>
                <w:sz w:val="24"/>
                <w:szCs w:val="24"/>
              </w:rPr>
            </w:pPr>
          </w:p>
        </w:tc>
      </w:tr>
      <w:tr w:rsidR="005A14F1" w:rsidRPr="005A14F1" w:rsidTr="007748CD">
        <w:trPr>
          <w:trHeight w:val="387"/>
        </w:trPr>
        <w:tc>
          <w:tcPr>
            <w:tcW w:w="12240" w:type="dxa"/>
            <w:gridSpan w:val="7"/>
            <w:tcBorders>
              <w:top w:val="nil"/>
              <w:left w:val="nil"/>
              <w:bottom w:val="nil"/>
              <w:right w:val="nil"/>
            </w:tcBorders>
            <w:shd w:val="clear" w:color="auto" w:fill="auto"/>
            <w:vAlign w:val="bottom"/>
            <w:hideMark/>
          </w:tcPr>
          <w:p w:rsidR="005A14F1" w:rsidRPr="005A14F1" w:rsidRDefault="005A14F1" w:rsidP="005A14F1">
            <w:pPr>
              <w:widowControl/>
              <w:jc w:val="center"/>
              <w:rPr>
                <w:rFonts w:ascii="Wide Latin" w:eastAsia="Times New Roman" w:hAnsi="Wide Latin" w:cs="Times New Roman"/>
                <w:color w:val="000000"/>
                <w:sz w:val="24"/>
                <w:szCs w:val="24"/>
              </w:rPr>
            </w:pPr>
            <w:r w:rsidRPr="005A14F1">
              <w:rPr>
                <w:rFonts w:ascii="Wide Latin" w:eastAsia="Times New Roman" w:hAnsi="Wide Latin" w:cs="Times New Roman"/>
                <w:color w:val="000000"/>
                <w:sz w:val="24"/>
                <w:szCs w:val="24"/>
              </w:rPr>
              <w:t>Statement of Activities</w:t>
            </w:r>
          </w:p>
        </w:tc>
        <w:tc>
          <w:tcPr>
            <w:tcW w:w="758" w:type="dxa"/>
            <w:tcBorders>
              <w:top w:val="nil"/>
              <w:left w:val="nil"/>
              <w:bottom w:val="nil"/>
              <w:right w:val="nil"/>
            </w:tcBorders>
            <w:shd w:val="clear" w:color="auto" w:fill="auto"/>
            <w:vAlign w:val="bottom"/>
            <w:hideMark/>
          </w:tcPr>
          <w:p w:rsidR="005A14F1" w:rsidRPr="005A14F1" w:rsidRDefault="005A14F1" w:rsidP="005A14F1">
            <w:pPr>
              <w:widowControl/>
              <w:jc w:val="center"/>
              <w:rPr>
                <w:rFonts w:ascii="Wide Latin" w:eastAsia="Times New Roman" w:hAnsi="Wide Latin" w:cs="Times New Roman"/>
                <w:color w:val="000000"/>
                <w:sz w:val="24"/>
                <w:szCs w:val="24"/>
              </w:rPr>
            </w:pPr>
          </w:p>
        </w:tc>
      </w:tr>
      <w:tr w:rsidR="005A14F1" w:rsidRPr="005A14F1" w:rsidTr="00554FED">
        <w:trPr>
          <w:trHeight w:val="390"/>
        </w:trPr>
        <w:tc>
          <w:tcPr>
            <w:tcW w:w="3870" w:type="dxa"/>
            <w:gridSpan w:val="3"/>
            <w:tcBorders>
              <w:top w:val="nil"/>
              <w:left w:val="nil"/>
              <w:bottom w:val="single" w:sz="8" w:space="0" w:color="auto"/>
              <w:right w:val="nil"/>
            </w:tcBorders>
            <w:shd w:val="clear" w:color="auto" w:fill="auto"/>
            <w:noWrap/>
            <w:vAlign w:val="bottom"/>
            <w:hideMark/>
          </w:tcPr>
          <w:p w:rsidR="005A14F1" w:rsidRPr="005A14F1" w:rsidRDefault="005A14F1" w:rsidP="00554FED">
            <w:pPr>
              <w:widowControl/>
              <w:jc w:val="right"/>
              <w:rPr>
                <w:rFonts w:ascii="Arial" w:eastAsia="Times New Roman" w:hAnsi="Arial" w:cs="Arial"/>
                <w:b/>
                <w:bCs/>
                <w:color w:val="000000"/>
                <w:sz w:val="24"/>
                <w:szCs w:val="24"/>
              </w:rPr>
            </w:pPr>
            <w:r w:rsidRPr="005A14F1">
              <w:rPr>
                <w:rFonts w:ascii="Arial" w:eastAsia="Times New Roman" w:hAnsi="Arial" w:cs="Arial"/>
                <w:b/>
                <w:bCs/>
                <w:color w:val="000000"/>
                <w:sz w:val="24"/>
                <w:szCs w:val="24"/>
              </w:rPr>
              <w:t>Revenue and Support</w:t>
            </w:r>
          </w:p>
        </w:tc>
        <w:tc>
          <w:tcPr>
            <w:tcW w:w="1890" w:type="dxa"/>
            <w:tcBorders>
              <w:top w:val="nil"/>
              <w:left w:val="nil"/>
              <w:bottom w:val="single" w:sz="8" w:space="0" w:color="auto"/>
              <w:right w:val="nil"/>
            </w:tcBorders>
            <w:shd w:val="clear" w:color="auto" w:fill="auto"/>
            <w:noWrap/>
            <w:vAlign w:val="bottom"/>
            <w:hideMark/>
          </w:tcPr>
          <w:p w:rsidR="005A14F1" w:rsidRPr="005A14F1" w:rsidRDefault="005A14F1" w:rsidP="005A14F1">
            <w:pPr>
              <w:widowControl/>
              <w:rPr>
                <w:rFonts w:ascii="Arial" w:eastAsia="Times New Roman" w:hAnsi="Arial" w:cs="Arial"/>
                <w:b/>
                <w:bCs/>
                <w:color w:val="000000"/>
                <w:sz w:val="24"/>
                <w:szCs w:val="24"/>
              </w:rPr>
            </w:pPr>
            <w:r w:rsidRPr="005A14F1">
              <w:rPr>
                <w:rFonts w:ascii="Arial" w:eastAsia="Times New Roman" w:hAnsi="Arial" w:cs="Arial"/>
                <w:b/>
                <w:bCs/>
                <w:color w:val="000000"/>
                <w:sz w:val="24"/>
                <w:szCs w:val="24"/>
              </w:rPr>
              <w:t> </w:t>
            </w:r>
          </w:p>
        </w:tc>
        <w:tc>
          <w:tcPr>
            <w:tcW w:w="1890" w:type="dxa"/>
            <w:tcBorders>
              <w:top w:val="nil"/>
              <w:left w:val="nil"/>
              <w:bottom w:val="single" w:sz="8" w:space="0" w:color="auto"/>
              <w:right w:val="nil"/>
            </w:tcBorders>
            <w:shd w:val="clear" w:color="auto" w:fill="auto"/>
            <w:noWrap/>
            <w:vAlign w:val="bottom"/>
            <w:hideMark/>
          </w:tcPr>
          <w:p w:rsidR="005A14F1" w:rsidRPr="005A14F1" w:rsidRDefault="005A14F1" w:rsidP="005A14F1">
            <w:pPr>
              <w:widowControl/>
              <w:rPr>
                <w:rFonts w:ascii="Arial" w:eastAsia="Times New Roman" w:hAnsi="Arial" w:cs="Arial"/>
                <w:b/>
                <w:bCs/>
                <w:color w:val="000000"/>
                <w:sz w:val="24"/>
                <w:szCs w:val="24"/>
              </w:rPr>
            </w:pPr>
            <w:r w:rsidRPr="005A14F1">
              <w:rPr>
                <w:rFonts w:ascii="Arial" w:eastAsia="Times New Roman" w:hAnsi="Arial" w:cs="Arial"/>
                <w:b/>
                <w:bCs/>
                <w:color w:val="000000"/>
                <w:sz w:val="24"/>
                <w:szCs w:val="24"/>
              </w:rPr>
              <w:t> </w:t>
            </w:r>
          </w:p>
        </w:tc>
        <w:tc>
          <w:tcPr>
            <w:tcW w:w="2070" w:type="dxa"/>
            <w:tcBorders>
              <w:top w:val="nil"/>
              <w:left w:val="nil"/>
              <w:bottom w:val="single" w:sz="8" w:space="0" w:color="auto"/>
              <w:right w:val="nil"/>
            </w:tcBorders>
            <w:shd w:val="clear" w:color="auto" w:fill="auto"/>
            <w:noWrap/>
            <w:vAlign w:val="bottom"/>
            <w:hideMark/>
          </w:tcPr>
          <w:p w:rsidR="005A14F1" w:rsidRPr="005A14F1" w:rsidRDefault="005A14F1" w:rsidP="005A14F1">
            <w:pPr>
              <w:widowControl/>
              <w:jc w:val="center"/>
              <w:rPr>
                <w:rFonts w:ascii="Arial" w:eastAsia="Times New Roman" w:hAnsi="Arial" w:cs="Arial"/>
                <w:color w:val="000000"/>
                <w:sz w:val="20"/>
                <w:szCs w:val="20"/>
              </w:rPr>
            </w:pPr>
            <w:r w:rsidRPr="005A14F1">
              <w:rPr>
                <w:rFonts w:ascii="Arial" w:eastAsia="Times New Roman" w:hAnsi="Arial" w:cs="Arial"/>
                <w:color w:val="000000"/>
                <w:sz w:val="20"/>
                <w:szCs w:val="20"/>
              </w:rPr>
              <w:t>October 31, 2016</w:t>
            </w:r>
          </w:p>
        </w:tc>
        <w:tc>
          <w:tcPr>
            <w:tcW w:w="2520" w:type="dxa"/>
            <w:tcBorders>
              <w:top w:val="nil"/>
              <w:left w:val="nil"/>
              <w:bottom w:val="single" w:sz="8" w:space="0" w:color="auto"/>
              <w:right w:val="nil"/>
            </w:tcBorders>
            <w:shd w:val="clear" w:color="auto" w:fill="auto"/>
            <w:noWrap/>
            <w:vAlign w:val="bottom"/>
            <w:hideMark/>
          </w:tcPr>
          <w:p w:rsidR="005A14F1" w:rsidRPr="005A14F1" w:rsidRDefault="005A14F1" w:rsidP="005A14F1">
            <w:pPr>
              <w:widowControl/>
              <w:jc w:val="center"/>
              <w:rPr>
                <w:rFonts w:ascii="Arial" w:eastAsia="Times New Roman" w:hAnsi="Arial" w:cs="Arial"/>
                <w:color w:val="000000"/>
                <w:sz w:val="20"/>
                <w:szCs w:val="20"/>
              </w:rPr>
            </w:pPr>
            <w:r w:rsidRPr="005A14F1">
              <w:rPr>
                <w:rFonts w:ascii="Arial" w:eastAsia="Times New Roman" w:hAnsi="Arial" w:cs="Arial"/>
                <w:color w:val="000000"/>
                <w:sz w:val="20"/>
                <w:szCs w:val="20"/>
              </w:rPr>
              <w:t>October 31, 2015</w:t>
            </w:r>
          </w:p>
        </w:tc>
        <w:tc>
          <w:tcPr>
            <w:tcW w:w="758" w:type="dxa"/>
            <w:tcBorders>
              <w:top w:val="nil"/>
              <w:left w:val="nil"/>
              <w:bottom w:val="nil"/>
              <w:right w:val="nil"/>
            </w:tcBorders>
            <w:shd w:val="clear" w:color="auto" w:fill="auto"/>
            <w:noWrap/>
            <w:vAlign w:val="bottom"/>
            <w:hideMark/>
          </w:tcPr>
          <w:p w:rsidR="005A14F1" w:rsidRPr="005A14F1" w:rsidRDefault="005A14F1" w:rsidP="005A14F1">
            <w:pPr>
              <w:widowControl/>
              <w:jc w:val="center"/>
              <w:rPr>
                <w:rFonts w:ascii="Arial" w:eastAsia="Times New Roman" w:hAnsi="Arial" w:cs="Arial"/>
                <w:color w:val="000000"/>
                <w:sz w:val="20"/>
                <w:szCs w:val="20"/>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jc w:val="center"/>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Grants - New York State</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           878,012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          839,153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Grants - Federal (HRI)</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12,397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17,136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Transportation - Medicaid </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165,813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156,116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Greene County DSS</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35,106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29,953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Columbia County Departments</w:t>
            </w:r>
            <w:r w:rsidR="00554FED">
              <w:rPr>
                <w:rFonts w:ascii="Arial" w:eastAsia="Times New Roman" w:hAnsi="Arial" w:cs="Arial"/>
                <w:color w:val="000000"/>
                <w:sz w:val="24"/>
                <w:szCs w:val="24"/>
              </w:rPr>
              <w:t>:</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Times New Roman" w:eastAsia="Times New Roman" w:hAnsi="Times New Roman" w:cs="Times New Roman"/>
                <w:sz w:val="20"/>
                <w:szCs w:val="20"/>
              </w:rPr>
            </w:pP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4950" w:type="dxa"/>
            <w:gridSpan w:val="3"/>
            <w:tcBorders>
              <w:top w:val="nil"/>
              <w:left w:val="nil"/>
              <w:bottom w:val="nil"/>
              <w:right w:val="nil"/>
            </w:tcBorders>
            <w:shd w:val="clear" w:color="auto" w:fill="auto"/>
            <w:noWrap/>
            <w:vAlign w:val="center"/>
            <w:hideMark/>
          </w:tcPr>
          <w:p w:rsidR="005A14F1" w:rsidRPr="005A14F1" w:rsidRDefault="00554FED" w:rsidP="00554FED">
            <w:pPr>
              <w:widowControl/>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5A14F1" w:rsidRPr="005A14F1">
              <w:rPr>
                <w:rFonts w:ascii="Arial" w:eastAsia="Times New Roman" w:hAnsi="Arial" w:cs="Arial"/>
                <w:color w:val="000000"/>
                <w:sz w:val="24"/>
                <w:szCs w:val="24"/>
              </w:rPr>
              <w:t>OFA: NY Connects, Senior Transportation</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ind w:firstLineChars="400" w:firstLine="960"/>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108,880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68,465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54FED" w:rsidP="00554FED">
            <w:pPr>
              <w:widowControl/>
              <w:rPr>
                <w:rFonts w:ascii="Arial" w:eastAsia="Times New Roman" w:hAnsi="Arial" w:cs="Arial"/>
                <w:color w:val="000000"/>
                <w:sz w:val="24"/>
                <w:szCs w:val="24"/>
              </w:rPr>
            </w:pPr>
            <w:r>
              <w:rPr>
                <w:rFonts w:ascii="Arial" w:eastAsia="Times New Roman" w:hAnsi="Arial" w:cs="Arial"/>
                <w:color w:val="000000"/>
                <w:sz w:val="24"/>
                <w:szCs w:val="24"/>
              </w:rPr>
              <w:t xml:space="preserve">  Dept. of Human </w:t>
            </w:r>
            <w:r w:rsidR="005A14F1" w:rsidRPr="005A14F1">
              <w:rPr>
                <w:rFonts w:ascii="Arial" w:eastAsia="Times New Roman" w:hAnsi="Arial" w:cs="Arial"/>
                <w:color w:val="000000"/>
                <w:sz w:val="24"/>
                <w:szCs w:val="24"/>
              </w:rPr>
              <w:t>Services</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ind w:firstLineChars="400" w:firstLine="960"/>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8,241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7,615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32"/>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54FED" w:rsidP="00554FED">
            <w:pPr>
              <w:widowControl/>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5A14F1" w:rsidRPr="005A14F1">
              <w:rPr>
                <w:rFonts w:ascii="Arial" w:eastAsia="Times New Roman" w:hAnsi="Arial" w:cs="Arial"/>
                <w:color w:val="000000"/>
                <w:sz w:val="24"/>
                <w:szCs w:val="24"/>
              </w:rPr>
              <w:t>Dept. of Health</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ind w:firstLineChars="400" w:firstLine="960"/>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634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Albany Medical Center</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7,125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Donations - Transportation</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7,387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7,518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23"/>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Donations - Others</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150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20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Interest - Bank Accounts</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1,032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1,247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Investment Income</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869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266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Unrealized Gain (Loss) on Investment</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496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(385)</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4950" w:type="dxa"/>
            <w:gridSpan w:val="3"/>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Foundation Revenue-FCH &amp; Dyson</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62,767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109,054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4950" w:type="dxa"/>
            <w:gridSpan w:val="3"/>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Miscellaneous Revenue - NYS Interest &amp; Others</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431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556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20"/>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3060" w:type="dxa"/>
            <w:gridSpan w:val="2"/>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r w:rsidRPr="005A14F1">
              <w:rPr>
                <w:rFonts w:ascii="Arial" w:eastAsia="Times New Roman" w:hAnsi="Arial" w:cs="Arial"/>
                <w:color w:val="000000"/>
                <w:sz w:val="24"/>
                <w:szCs w:val="24"/>
              </w:rPr>
              <w:t>In-Kind Rent - Columbia County</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2070" w:type="dxa"/>
            <w:tcBorders>
              <w:top w:val="nil"/>
              <w:left w:val="nil"/>
              <w:bottom w:val="single" w:sz="8" w:space="0" w:color="auto"/>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38,813 </w:t>
            </w:r>
          </w:p>
        </w:tc>
        <w:tc>
          <w:tcPr>
            <w:tcW w:w="2520" w:type="dxa"/>
            <w:tcBorders>
              <w:top w:val="nil"/>
              <w:left w:val="nil"/>
              <w:bottom w:val="single" w:sz="8" w:space="0" w:color="auto"/>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38,813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54FED" w:rsidRPr="005A14F1" w:rsidTr="006946AD">
        <w:trPr>
          <w:trHeight w:val="405"/>
        </w:trPr>
        <w:tc>
          <w:tcPr>
            <w:tcW w:w="810" w:type="dxa"/>
            <w:tcBorders>
              <w:top w:val="nil"/>
              <w:left w:val="nil"/>
              <w:bottom w:val="nil"/>
              <w:right w:val="nil"/>
            </w:tcBorders>
            <w:shd w:val="clear" w:color="auto" w:fill="auto"/>
            <w:noWrap/>
            <w:vAlign w:val="center"/>
            <w:hideMark/>
          </w:tcPr>
          <w:p w:rsidR="00554FED" w:rsidRPr="005A14F1" w:rsidRDefault="00554FED" w:rsidP="005A14F1">
            <w:pPr>
              <w:widowControl/>
              <w:rPr>
                <w:rFonts w:ascii="Times New Roman" w:eastAsia="Times New Roman" w:hAnsi="Times New Roman" w:cs="Times New Roman"/>
                <w:sz w:val="20"/>
                <w:szCs w:val="20"/>
              </w:rPr>
            </w:pPr>
          </w:p>
        </w:tc>
        <w:tc>
          <w:tcPr>
            <w:tcW w:w="4950" w:type="dxa"/>
            <w:gridSpan w:val="3"/>
            <w:tcBorders>
              <w:top w:val="nil"/>
              <w:left w:val="nil"/>
              <w:bottom w:val="nil"/>
              <w:right w:val="nil"/>
            </w:tcBorders>
            <w:shd w:val="clear" w:color="auto" w:fill="auto"/>
            <w:noWrap/>
            <w:vAlign w:val="center"/>
            <w:hideMark/>
          </w:tcPr>
          <w:p w:rsidR="00554FED" w:rsidRPr="005A14F1" w:rsidRDefault="00554FED" w:rsidP="005A14F1">
            <w:pPr>
              <w:widowControl/>
              <w:rPr>
                <w:rFonts w:ascii="Arial" w:eastAsia="Times New Roman" w:hAnsi="Arial" w:cs="Arial"/>
                <w:b/>
                <w:bCs/>
                <w:color w:val="000000"/>
                <w:sz w:val="24"/>
                <w:szCs w:val="24"/>
              </w:rPr>
            </w:pPr>
            <w:r w:rsidRPr="005A14F1">
              <w:rPr>
                <w:rFonts w:ascii="Arial" w:eastAsia="Times New Roman" w:hAnsi="Arial" w:cs="Arial"/>
                <w:b/>
                <w:bCs/>
                <w:color w:val="000000"/>
                <w:sz w:val="24"/>
                <w:szCs w:val="24"/>
              </w:rPr>
              <w:t>Total Revenue and Support</w:t>
            </w:r>
          </w:p>
        </w:tc>
        <w:tc>
          <w:tcPr>
            <w:tcW w:w="1890" w:type="dxa"/>
            <w:tcBorders>
              <w:top w:val="nil"/>
              <w:left w:val="nil"/>
              <w:bottom w:val="nil"/>
              <w:right w:val="nil"/>
            </w:tcBorders>
            <w:shd w:val="clear" w:color="auto" w:fill="auto"/>
            <w:noWrap/>
            <w:vAlign w:val="center"/>
            <w:hideMark/>
          </w:tcPr>
          <w:p w:rsidR="00554FED" w:rsidRPr="005A14F1" w:rsidRDefault="00554FED" w:rsidP="005A14F1">
            <w:pPr>
              <w:widowControl/>
              <w:rPr>
                <w:rFonts w:ascii="Arial" w:eastAsia="Times New Roman" w:hAnsi="Arial" w:cs="Arial"/>
                <w:b/>
                <w:bCs/>
                <w:color w:val="000000"/>
                <w:sz w:val="24"/>
                <w:szCs w:val="24"/>
              </w:rPr>
            </w:pPr>
          </w:p>
        </w:tc>
        <w:tc>
          <w:tcPr>
            <w:tcW w:w="2070" w:type="dxa"/>
            <w:tcBorders>
              <w:top w:val="nil"/>
              <w:left w:val="nil"/>
              <w:bottom w:val="nil"/>
              <w:right w:val="nil"/>
            </w:tcBorders>
            <w:shd w:val="clear" w:color="auto" w:fill="auto"/>
            <w:noWrap/>
            <w:vAlign w:val="center"/>
            <w:hideMark/>
          </w:tcPr>
          <w:p w:rsidR="00554FED" w:rsidRPr="005A14F1" w:rsidRDefault="00554FED"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1,328,154 </w:t>
            </w:r>
          </w:p>
        </w:tc>
        <w:tc>
          <w:tcPr>
            <w:tcW w:w="2520" w:type="dxa"/>
            <w:tcBorders>
              <w:top w:val="nil"/>
              <w:left w:val="nil"/>
              <w:bottom w:val="nil"/>
              <w:right w:val="nil"/>
            </w:tcBorders>
            <w:shd w:val="clear" w:color="auto" w:fill="auto"/>
            <w:noWrap/>
            <w:vAlign w:val="center"/>
            <w:hideMark/>
          </w:tcPr>
          <w:p w:rsidR="00554FED" w:rsidRPr="005A14F1" w:rsidRDefault="00554FED"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1,275,527 </w:t>
            </w:r>
          </w:p>
        </w:tc>
        <w:tc>
          <w:tcPr>
            <w:tcW w:w="758" w:type="dxa"/>
            <w:tcBorders>
              <w:top w:val="nil"/>
              <w:left w:val="nil"/>
              <w:bottom w:val="nil"/>
              <w:right w:val="nil"/>
            </w:tcBorders>
            <w:shd w:val="clear" w:color="auto" w:fill="auto"/>
            <w:noWrap/>
            <w:vAlign w:val="center"/>
            <w:hideMark/>
          </w:tcPr>
          <w:p w:rsidR="00554FED" w:rsidRPr="005A14F1" w:rsidRDefault="00554FED" w:rsidP="005A14F1">
            <w:pPr>
              <w:widowControl/>
              <w:rPr>
                <w:rFonts w:ascii="Arial" w:eastAsia="Times New Roman" w:hAnsi="Arial" w:cs="Arial"/>
                <w:color w:val="000000"/>
                <w:sz w:val="24"/>
                <w:szCs w:val="24"/>
              </w:rPr>
            </w:pPr>
          </w:p>
        </w:tc>
      </w:tr>
      <w:tr w:rsidR="005A14F1" w:rsidRPr="005A14F1" w:rsidTr="00554FED">
        <w:trPr>
          <w:trHeight w:val="405"/>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4950" w:type="dxa"/>
            <w:gridSpan w:val="3"/>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b/>
                <w:bCs/>
                <w:color w:val="000000"/>
                <w:sz w:val="24"/>
                <w:szCs w:val="24"/>
              </w:rPr>
            </w:pPr>
            <w:r w:rsidRPr="005A14F1">
              <w:rPr>
                <w:rFonts w:ascii="Arial" w:eastAsia="Times New Roman" w:hAnsi="Arial" w:cs="Arial"/>
                <w:b/>
                <w:bCs/>
                <w:color w:val="000000"/>
                <w:sz w:val="24"/>
                <w:szCs w:val="24"/>
              </w:rPr>
              <w:t>Assets Released from Temporary Restrictions</w:t>
            </w:r>
          </w:p>
        </w:tc>
        <w:tc>
          <w:tcPr>
            <w:tcW w:w="189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b/>
                <w:bCs/>
                <w:color w:val="000000"/>
                <w:sz w:val="24"/>
                <w:szCs w:val="24"/>
              </w:rPr>
            </w:pPr>
          </w:p>
        </w:tc>
        <w:tc>
          <w:tcPr>
            <w:tcW w:w="207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77,329 </w:t>
            </w:r>
          </w:p>
        </w:tc>
        <w:tc>
          <w:tcPr>
            <w:tcW w:w="2520" w:type="dxa"/>
            <w:tcBorders>
              <w:top w:val="nil"/>
              <w:left w:val="nil"/>
              <w:bottom w:val="nil"/>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86,576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r w:rsidR="005A14F1" w:rsidRPr="005A14F1" w:rsidTr="00554FED">
        <w:trPr>
          <w:trHeight w:val="420"/>
        </w:trPr>
        <w:tc>
          <w:tcPr>
            <w:tcW w:w="810"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center"/>
            <w:hideMark/>
          </w:tcPr>
          <w:p w:rsidR="005A14F1" w:rsidRPr="005A14F1" w:rsidRDefault="005A14F1" w:rsidP="005A14F1">
            <w:pPr>
              <w:widowControl/>
              <w:rPr>
                <w:rFonts w:ascii="Times New Roman" w:eastAsia="Times New Roman" w:hAnsi="Times New Roman" w:cs="Times New Roman"/>
                <w:sz w:val="20"/>
                <w:szCs w:val="20"/>
              </w:rPr>
            </w:pPr>
          </w:p>
        </w:tc>
        <w:tc>
          <w:tcPr>
            <w:tcW w:w="4966" w:type="dxa"/>
            <w:gridSpan w:val="3"/>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b/>
                <w:bCs/>
                <w:color w:val="000000"/>
                <w:sz w:val="24"/>
                <w:szCs w:val="24"/>
              </w:rPr>
            </w:pPr>
            <w:r w:rsidRPr="005A14F1">
              <w:rPr>
                <w:rFonts w:ascii="Arial" w:eastAsia="Times New Roman" w:hAnsi="Arial" w:cs="Arial"/>
                <w:b/>
                <w:bCs/>
                <w:color w:val="000000"/>
                <w:sz w:val="24"/>
                <w:szCs w:val="24"/>
              </w:rPr>
              <w:t>Total Revenue and Other Support</w:t>
            </w:r>
          </w:p>
        </w:tc>
        <w:tc>
          <w:tcPr>
            <w:tcW w:w="2070" w:type="dxa"/>
            <w:tcBorders>
              <w:top w:val="single" w:sz="4" w:space="0" w:color="auto"/>
              <w:left w:val="nil"/>
              <w:bottom w:val="double" w:sz="6" w:space="0" w:color="auto"/>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1,405,483 </w:t>
            </w:r>
          </w:p>
        </w:tc>
        <w:tc>
          <w:tcPr>
            <w:tcW w:w="2520" w:type="dxa"/>
            <w:tcBorders>
              <w:top w:val="single" w:sz="4" w:space="0" w:color="auto"/>
              <w:left w:val="nil"/>
              <w:bottom w:val="double" w:sz="6" w:space="0" w:color="auto"/>
              <w:right w:val="nil"/>
            </w:tcBorders>
            <w:shd w:val="clear" w:color="auto" w:fill="auto"/>
            <w:noWrap/>
            <w:vAlign w:val="center"/>
            <w:hideMark/>
          </w:tcPr>
          <w:p w:rsidR="005A14F1" w:rsidRPr="005A14F1" w:rsidRDefault="005A14F1" w:rsidP="00554FED">
            <w:pPr>
              <w:widowControl/>
              <w:jc w:val="right"/>
              <w:rPr>
                <w:rFonts w:ascii="Arial" w:eastAsia="Times New Roman" w:hAnsi="Arial" w:cs="Arial"/>
                <w:color w:val="000000"/>
                <w:sz w:val="24"/>
                <w:szCs w:val="24"/>
              </w:rPr>
            </w:pPr>
            <w:r w:rsidRPr="005A14F1">
              <w:rPr>
                <w:rFonts w:ascii="Arial" w:eastAsia="Times New Roman" w:hAnsi="Arial" w:cs="Arial"/>
                <w:color w:val="000000"/>
                <w:sz w:val="24"/>
                <w:szCs w:val="24"/>
              </w:rPr>
              <w:t xml:space="preserve">          1,362,103 </w:t>
            </w:r>
          </w:p>
        </w:tc>
        <w:tc>
          <w:tcPr>
            <w:tcW w:w="758" w:type="dxa"/>
            <w:tcBorders>
              <w:top w:val="nil"/>
              <w:left w:val="nil"/>
              <w:bottom w:val="nil"/>
              <w:right w:val="nil"/>
            </w:tcBorders>
            <w:shd w:val="clear" w:color="auto" w:fill="auto"/>
            <w:noWrap/>
            <w:vAlign w:val="center"/>
            <w:hideMark/>
          </w:tcPr>
          <w:p w:rsidR="005A14F1" w:rsidRPr="005A14F1" w:rsidRDefault="005A14F1" w:rsidP="005A14F1">
            <w:pPr>
              <w:widowControl/>
              <w:rPr>
                <w:rFonts w:ascii="Arial" w:eastAsia="Times New Roman" w:hAnsi="Arial" w:cs="Arial"/>
                <w:color w:val="000000"/>
                <w:sz w:val="24"/>
                <w:szCs w:val="24"/>
              </w:rPr>
            </w:pPr>
          </w:p>
        </w:tc>
      </w:tr>
    </w:tbl>
    <w:p w:rsidR="00C460C4" w:rsidRDefault="00C460C4"/>
    <w:p w:rsidR="005A14F1" w:rsidRDefault="005A14F1"/>
    <w:p w:rsidR="005A14F1" w:rsidRDefault="005A14F1"/>
    <w:p w:rsidR="005A14F1" w:rsidRDefault="005A14F1"/>
    <w:p w:rsidR="005A14F1" w:rsidRDefault="005A14F1"/>
    <w:p w:rsidR="005A14F1" w:rsidRDefault="005A14F1"/>
    <w:p w:rsidR="005A14F1" w:rsidRDefault="005A14F1"/>
    <w:p w:rsidR="005A14F1" w:rsidRDefault="005A14F1"/>
    <w:p w:rsidR="005A14F1" w:rsidRDefault="005A14F1"/>
    <w:p w:rsidR="005A14F1" w:rsidRPr="00870380" w:rsidRDefault="005A14F1" w:rsidP="005A14F1">
      <w:pPr>
        <w:rPr>
          <w:b/>
        </w:rPr>
      </w:pPr>
      <w:r w:rsidRPr="00870380">
        <w:rPr>
          <w:b/>
        </w:rPr>
        <w:t xml:space="preserve">Columbia County Community Healthcare Consortium, Inc. </w:t>
      </w:r>
    </w:p>
    <w:p w:rsidR="005A14F1" w:rsidRDefault="005A14F1" w:rsidP="005A14F1">
      <w:pPr>
        <w:rPr>
          <w:b/>
        </w:rPr>
      </w:pPr>
      <w:r w:rsidRPr="00870380">
        <w:rPr>
          <w:b/>
        </w:rPr>
        <w:t xml:space="preserve">Meeting of the </w:t>
      </w:r>
      <w:r>
        <w:rPr>
          <w:b/>
        </w:rPr>
        <w:t>Executive Committee</w:t>
      </w:r>
    </w:p>
    <w:p w:rsidR="005A14F1" w:rsidRPr="00870380" w:rsidRDefault="005A14F1" w:rsidP="005A14F1">
      <w:pPr>
        <w:rPr>
          <w:b/>
        </w:rPr>
      </w:pPr>
      <w:r>
        <w:rPr>
          <w:b/>
        </w:rPr>
        <w:t>November 30, 2016</w:t>
      </w:r>
    </w:p>
    <w:p w:rsidR="005A14F1" w:rsidRDefault="005A14F1" w:rsidP="005A14F1"/>
    <w:p w:rsidR="005A14F1" w:rsidRPr="00870380" w:rsidRDefault="005A14F1" w:rsidP="005A14F1">
      <w:pPr>
        <w:rPr>
          <w:b/>
          <w:u w:val="single"/>
        </w:rPr>
      </w:pPr>
      <w:r w:rsidRPr="00870380">
        <w:rPr>
          <w:b/>
          <w:u w:val="single"/>
        </w:rPr>
        <w:t>Executive Director’s Report</w:t>
      </w:r>
    </w:p>
    <w:p w:rsidR="005A14F1" w:rsidRDefault="005A14F1" w:rsidP="005A14F1">
      <w:pPr>
        <w:spacing w:before="240"/>
        <w:rPr>
          <w:b/>
        </w:rPr>
      </w:pPr>
      <w:r>
        <w:rPr>
          <w:b/>
        </w:rPr>
        <w:t xml:space="preserve">Board and Community </w:t>
      </w:r>
      <w:r w:rsidRPr="00870380">
        <w:rPr>
          <w:b/>
        </w:rPr>
        <w:t>Relations</w:t>
      </w:r>
    </w:p>
    <w:p w:rsidR="005A14F1" w:rsidRPr="006E0B86" w:rsidRDefault="005A14F1" w:rsidP="005A14F1">
      <w:pPr>
        <w:pStyle w:val="ListParagraph"/>
        <w:numPr>
          <w:ilvl w:val="0"/>
          <w:numId w:val="6"/>
        </w:numPr>
        <w:spacing w:before="120"/>
        <w:contextualSpacing w:val="0"/>
      </w:pPr>
      <w:r>
        <w:t xml:space="preserve">Since my last report, I attended the </w:t>
      </w:r>
      <w:r w:rsidRPr="006E0B86">
        <w:t>Capital Region Planning Consortium meeting</w:t>
      </w:r>
      <w:r>
        <w:t xml:space="preserve"> </w:t>
      </w:r>
      <w:r w:rsidRPr="006E0B86">
        <w:t>in Albany</w:t>
      </w:r>
    </w:p>
    <w:p w:rsidR="005A14F1" w:rsidRPr="006E0B86" w:rsidRDefault="005A14F1" w:rsidP="005A14F1">
      <w:pPr>
        <w:pStyle w:val="ListParagraph"/>
        <w:numPr>
          <w:ilvl w:val="0"/>
          <w:numId w:val="6"/>
        </w:numPr>
        <w:spacing w:before="120"/>
        <w:contextualSpacing w:val="0"/>
      </w:pPr>
      <w:r>
        <w:t>I also attended “</w:t>
      </w:r>
      <w:r w:rsidRPr="006E0B86">
        <w:t>Collaboration for Results: The Principles and</w:t>
      </w:r>
      <w:r>
        <w:t xml:space="preserve"> Practices of Collective Impact”</w:t>
      </w:r>
      <w:r w:rsidRPr="006E0B86">
        <w:t xml:space="preserve"> </w:t>
      </w:r>
      <w:r>
        <w:t xml:space="preserve">on </w:t>
      </w:r>
      <w:r w:rsidRPr="006E0B86">
        <w:t>November 3</w:t>
      </w:r>
      <w:r w:rsidRPr="006E0B86">
        <w:rPr>
          <w:vertAlign w:val="superscript"/>
        </w:rPr>
        <w:t>rd</w:t>
      </w:r>
      <w:r w:rsidRPr="006E0B86">
        <w:t xml:space="preserve"> in Great Barrington, MA</w:t>
      </w:r>
      <w:r>
        <w:t>.  I would like to recommend the speaker for our annual meeting in April</w:t>
      </w:r>
    </w:p>
    <w:p w:rsidR="005A14F1" w:rsidRPr="006F6B64" w:rsidRDefault="005A14F1" w:rsidP="005A14F1">
      <w:pPr>
        <w:pStyle w:val="ListParagraph"/>
        <w:numPr>
          <w:ilvl w:val="0"/>
          <w:numId w:val="6"/>
        </w:numPr>
        <w:spacing w:before="120"/>
        <w:contextualSpacing w:val="0"/>
        <w:rPr>
          <w:b/>
        </w:rPr>
      </w:pPr>
      <w:r>
        <w:t>I provided my g</w:t>
      </w:r>
      <w:r w:rsidRPr="006E0B86">
        <w:t>rant writing workshop for Consortium and DHS employees</w:t>
      </w:r>
      <w:r>
        <w:t xml:space="preserve"> on</w:t>
      </w:r>
      <w:r w:rsidRPr="006E0B86">
        <w:t xml:space="preserve"> </w:t>
      </w:r>
      <w:r>
        <w:t>November</w:t>
      </w:r>
      <w:r w:rsidRPr="006E0B86">
        <w:t xml:space="preserve"> 4</w:t>
      </w:r>
      <w:r w:rsidRPr="006F6B64">
        <w:rPr>
          <w:vertAlign w:val="superscript"/>
        </w:rPr>
        <w:t>th</w:t>
      </w:r>
    </w:p>
    <w:p w:rsidR="005A14F1" w:rsidRDefault="005A14F1" w:rsidP="005A14F1">
      <w:pPr>
        <w:spacing w:before="120"/>
        <w:rPr>
          <w:b/>
        </w:rPr>
      </w:pPr>
    </w:p>
    <w:p w:rsidR="005A14F1" w:rsidRDefault="005A14F1" w:rsidP="005A14F1">
      <w:pPr>
        <w:spacing w:before="120"/>
        <w:rPr>
          <w:b/>
        </w:rPr>
      </w:pPr>
      <w:r w:rsidRPr="00870380">
        <w:rPr>
          <w:b/>
        </w:rPr>
        <w:t>Strateg</w:t>
      </w:r>
      <w:r>
        <w:rPr>
          <w:b/>
        </w:rPr>
        <w:t>y</w:t>
      </w:r>
      <w:r w:rsidRPr="00870380">
        <w:rPr>
          <w:b/>
        </w:rPr>
        <w:t xml:space="preserve"> &amp; </w:t>
      </w:r>
      <w:r>
        <w:rPr>
          <w:b/>
        </w:rPr>
        <w:t xml:space="preserve">Program </w:t>
      </w:r>
      <w:r w:rsidRPr="00870380">
        <w:rPr>
          <w:b/>
        </w:rPr>
        <w:t>Planning</w:t>
      </w:r>
    </w:p>
    <w:p w:rsidR="005A14F1" w:rsidRDefault="005A14F1" w:rsidP="005A14F1">
      <w:pPr>
        <w:pStyle w:val="ListParagraph"/>
        <w:numPr>
          <w:ilvl w:val="0"/>
          <w:numId w:val="7"/>
        </w:numPr>
        <w:spacing w:before="120"/>
        <w:contextualSpacing w:val="0"/>
      </w:pPr>
      <w:r w:rsidRPr="004B0D4E">
        <w:t>We are preparing our submission to OASAS in response to the Community Coalitions RFA.  This will be submitted by December 14</w:t>
      </w:r>
      <w:r w:rsidRPr="004B0D4E">
        <w:rPr>
          <w:vertAlign w:val="superscript"/>
        </w:rPr>
        <w:t>th</w:t>
      </w:r>
      <w:r w:rsidRPr="004B0D4E">
        <w:t xml:space="preserve">.  </w:t>
      </w:r>
      <w:r>
        <w:t xml:space="preserve">Regardless of whether or not </w:t>
      </w:r>
      <w:r>
        <w:lastRenderedPageBreak/>
        <w:t xml:space="preserve">we get funded, the process of preparing the proposal, including discussions with multiple partners and stakeholders, has been a useful one, and will inform our work going forward. </w:t>
      </w:r>
    </w:p>
    <w:p w:rsidR="005A14F1" w:rsidRDefault="005A14F1" w:rsidP="005A14F1">
      <w:pPr>
        <w:pStyle w:val="ListParagraph"/>
        <w:numPr>
          <w:ilvl w:val="0"/>
          <w:numId w:val="7"/>
        </w:numPr>
        <w:spacing w:before="120"/>
        <w:contextualSpacing w:val="0"/>
      </w:pPr>
      <w:r>
        <w:t>We continue to participate in a group process to craft a set of recommendations to the CC Board of Supervisors regarding strategic investment of dollars to address the opioid epidemic</w:t>
      </w:r>
    </w:p>
    <w:p w:rsidR="005A14F1" w:rsidRDefault="005A14F1" w:rsidP="005A14F1">
      <w:pPr>
        <w:pStyle w:val="ListParagraph"/>
        <w:numPr>
          <w:ilvl w:val="0"/>
          <w:numId w:val="7"/>
        </w:numPr>
        <w:spacing w:before="120"/>
        <w:contextualSpacing w:val="0"/>
      </w:pPr>
      <w:r>
        <w:t>We continue to meet with key network members to plan the Pain Fair at CGCC in 2017</w:t>
      </w:r>
    </w:p>
    <w:p w:rsidR="005A14F1" w:rsidRPr="004B0D4E" w:rsidRDefault="005A14F1" w:rsidP="005A14F1">
      <w:pPr>
        <w:pStyle w:val="ListParagraph"/>
        <w:numPr>
          <w:ilvl w:val="0"/>
          <w:numId w:val="7"/>
        </w:numPr>
        <w:spacing w:before="120"/>
        <w:contextualSpacing w:val="0"/>
      </w:pPr>
      <w:r>
        <w:t xml:space="preserve">We continue to participate in the Southern Hub Behavioral Health Planning Group.  The next meeting is currently being scheduled for some time in December. </w:t>
      </w:r>
    </w:p>
    <w:p w:rsidR="005A14F1" w:rsidRDefault="005A14F1" w:rsidP="005A14F1">
      <w:pPr>
        <w:spacing w:before="120"/>
        <w:rPr>
          <w:b/>
        </w:rPr>
      </w:pPr>
    </w:p>
    <w:p w:rsidR="005A14F1" w:rsidRPr="00EF38A5" w:rsidRDefault="005A14F1" w:rsidP="005A14F1">
      <w:pPr>
        <w:spacing w:before="120"/>
        <w:rPr>
          <w:b/>
        </w:rPr>
      </w:pPr>
      <w:r w:rsidRPr="00EF38A5">
        <w:rPr>
          <w:b/>
        </w:rPr>
        <w:t>Resource Development</w:t>
      </w:r>
    </w:p>
    <w:p w:rsidR="005A14F1" w:rsidRDefault="005A14F1" w:rsidP="005A14F1">
      <w:pPr>
        <w:pStyle w:val="ListParagraph"/>
        <w:numPr>
          <w:ilvl w:val="0"/>
          <w:numId w:val="2"/>
        </w:numPr>
        <w:spacing w:before="120"/>
        <w:contextualSpacing w:val="0"/>
      </w:pPr>
      <w:r>
        <w:t xml:space="preserve">This month, we prepared and submitted an application for ongoing financial support ($44,000) for the Prescription Access and Referral Program to the Dyson Foundation; a determination is expected shortly. </w:t>
      </w:r>
    </w:p>
    <w:p w:rsidR="005A14F1" w:rsidRPr="00432B57" w:rsidRDefault="005A14F1" w:rsidP="005A14F1">
      <w:pPr>
        <w:pStyle w:val="ListParagraph"/>
        <w:numPr>
          <w:ilvl w:val="0"/>
          <w:numId w:val="2"/>
        </w:numPr>
        <w:tabs>
          <w:tab w:val="left" w:pos="1365"/>
        </w:tabs>
        <w:spacing w:before="120"/>
        <w:contextualSpacing w:val="0"/>
        <w:rPr>
          <w:b/>
        </w:rPr>
      </w:pPr>
      <w:r>
        <w:t>This month, we prepared and submitted an application for ongoing financial support ($25,000) for the Transportation Program to the Foundation for Community Health; a determination is expected shortly.</w:t>
      </w:r>
    </w:p>
    <w:p w:rsidR="005A14F1" w:rsidRPr="00432B57" w:rsidRDefault="005A14F1" w:rsidP="005A14F1">
      <w:pPr>
        <w:pStyle w:val="ListParagraph"/>
        <w:numPr>
          <w:ilvl w:val="0"/>
          <w:numId w:val="2"/>
        </w:numPr>
        <w:tabs>
          <w:tab w:val="left" w:pos="1365"/>
        </w:tabs>
        <w:spacing w:before="120"/>
        <w:contextualSpacing w:val="0"/>
      </w:pPr>
      <w:r w:rsidRPr="00432B57">
        <w:t>We have executed the contracts with CCOFA for the NYConnects Year 11</w:t>
      </w:r>
      <w:r>
        <w:t xml:space="preserve"> ($43,987)</w:t>
      </w:r>
      <w:r w:rsidRPr="00432B57">
        <w:t>, starting October 1, 2016, and for the MIPPA monies</w:t>
      </w:r>
      <w:r>
        <w:t xml:space="preserve"> ($2,710)</w:t>
      </w:r>
      <w:r w:rsidRPr="00432B57">
        <w:t xml:space="preserve">. </w:t>
      </w:r>
    </w:p>
    <w:p w:rsidR="005A14F1" w:rsidRDefault="005A14F1" w:rsidP="005A14F1">
      <w:pPr>
        <w:pStyle w:val="ListParagraph"/>
        <w:numPr>
          <w:ilvl w:val="0"/>
          <w:numId w:val="2"/>
        </w:numPr>
        <w:tabs>
          <w:tab w:val="left" w:pos="1365"/>
        </w:tabs>
        <w:spacing w:before="120"/>
        <w:contextualSpacing w:val="0"/>
      </w:pPr>
      <w:r w:rsidRPr="00432B57">
        <w:t xml:space="preserve">We have been advised that the RFP for the </w:t>
      </w:r>
      <w:r>
        <w:t xml:space="preserve">next round of funding for the </w:t>
      </w:r>
      <w:r w:rsidRPr="00432B57">
        <w:t>NYConnects Expansion and Enhance</w:t>
      </w:r>
      <w:r w:rsidRPr="00432B57">
        <w:lastRenderedPageBreak/>
        <w:t xml:space="preserve">ment Program </w:t>
      </w:r>
      <w:r>
        <w:t>will be issued in December, with an effective date of January 1, 2017.  It is unclear what the funding allocation for Columbia County will be.</w:t>
      </w:r>
    </w:p>
    <w:p w:rsidR="005A14F1" w:rsidRPr="00432B57" w:rsidRDefault="005A14F1" w:rsidP="005A14F1">
      <w:pPr>
        <w:pStyle w:val="ListParagraph"/>
        <w:tabs>
          <w:tab w:val="left" w:pos="1365"/>
        </w:tabs>
        <w:spacing w:before="120"/>
        <w:ind w:left="360"/>
        <w:contextualSpacing w:val="0"/>
      </w:pPr>
    </w:p>
    <w:p w:rsidR="005A14F1" w:rsidRDefault="005A14F1" w:rsidP="005A14F1">
      <w:pPr>
        <w:tabs>
          <w:tab w:val="left" w:pos="1365"/>
        </w:tabs>
        <w:spacing w:before="120"/>
      </w:pPr>
      <w:r w:rsidRPr="00870380">
        <w:rPr>
          <w:b/>
        </w:rPr>
        <w:t>Fiscal Management</w:t>
      </w:r>
    </w:p>
    <w:p w:rsidR="005A14F1" w:rsidRDefault="005A14F1" w:rsidP="005A14F1">
      <w:pPr>
        <w:pStyle w:val="ListParagraph"/>
        <w:numPr>
          <w:ilvl w:val="0"/>
          <w:numId w:val="4"/>
        </w:numPr>
        <w:spacing w:before="120"/>
        <w:contextualSpacing w:val="0"/>
      </w:pPr>
      <w:r>
        <w:t>Carol Hausamann of Marvin and Company will make a presentation on the audit to the Board of Directors at its meeting on December 7</w:t>
      </w:r>
      <w:r w:rsidRPr="00432B57">
        <w:rPr>
          <w:vertAlign w:val="superscript"/>
        </w:rPr>
        <w:t>th</w:t>
      </w:r>
      <w:r>
        <w:t>.</w:t>
      </w:r>
    </w:p>
    <w:p w:rsidR="005A14F1" w:rsidRDefault="005A14F1" w:rsidP="005A14F1">
      <w:pPr>
        <w:pStyle w:val="ListParagraph"/>
        <w:numPr>
          <w:ilvl w:val="0"/>
          <w:numId w:val="4"/>
        </w:numPr>
        <w:spacing w:before="120"/>
        <w:contextualSpacing w:val="0"/>
      </w:pPr>
      <w:r>
        <w:t xml:space="preserve">We received four bids for IT services in response to our RFP.  Our current vendor, i.t.s. of West Coxsackie, submitted a bid, which will almost certainly be selected, as it is less by half than all the others.  We will </w:t>
      </w:r>
      <w:r w:rsidRPr="00255922">
        <w:t>select a vendor by</w:t>
      </w:r>
      <w:r>
        <w:t xml:space="preserve"> December 9</w:t>
      </w:r>
      <w:r w:rsidRPr="00255922">
        <w:rPr>
          <w:vertAlign w:val="superscript"/>
        </w:rPr>
        <w:t>th</w:t>
      </w:r>
      <w:r>
        <w:t xml:space="preserve">. </w:t>
      </w:r>
    </w:p>
    <w:p w:rsidR="005A14F1" w:rsidRDefault="005A14F1" w:rsidP="005A14F1">
      <w:pPr>
        <w:pStyle w:val="ListParagraph"/>
        <w:spacing w:before="120"/>
        <w:ind w:left="360"/>
        <w:contextualSpacing w:val="0"/>
      </w:pPr>
    </w:p>
    <w:p w:rsidR="005A14F1" w:rsidRDefault="005A14F1" w:rsidP="005A14F1">
      <w:pPr>
        <w:spacing w:before="120"/>
        <w:rPr>
          <w:b/>
        </w:rPr>
      </w:pPr>
      <w:r w:rsidRPr="009A7F7F">
        <w:rPr>
          <w:b/>
        </w:rPr>
        <w:t>Personnel</w:t>
      </w:r>
      <w:r>
        <w:rPr>
          <w:b/>
        </w:rPr>
        <w:t xml:space="preserve"> Management</w:t>
      </w:r>
    </w:p>
    <w:p w:rsidR="005A14F1" w:rsidRDefault="005A14F1" w:rsidP="005A14F1">
      <w:pPr>
        <w:pStyle w:val="ListParagraph"/>
        <w:numPr>
          <w:ilvl w:val="0"/>
          <w:numId w:val="4"/>
        </w:numPr>
        <w:spacing w:before="120"/>
        <w:contextualSpacing w:val="0"/>
      </w:pPr>
      <w:r>
        <w:t>Susan Ortabas has returned to work as our Office Receptionist and Program Assistant on November 7, 2016.  It is anticipated that she will be absent for another 6-8 weeks starting in February 2017, during which time we expect to engage a temp.</w:t>
      </w:r>
    </w:p>
    <w:p w:rsidR="005A14F1" w:rsidRDefault="005A14F1" w:rsidP="005A14F1">
      <w:pPr>
        <w:pStyle w:val="ListParagraph"/>
        <w:numPr>
          <w:ilvl w:val="0"/>
          <w:numId w:val="4"/>
        </w:numPr>
        <w:spacing w:before="120"/>
        <w:contextualSpacing w:val="0"/>
      </w:pPr>
      <w:r>
        <w:t>Aleshia Boyle has decided to return to school on a full-time basis starting January 17, 2017.  We are currently advertising for her replacement.</w:t>
      </w:r>
    </w:p>
    <w:p w:rsidR="005A14F1" w:rsidRDefault="005A14F1" w:rsidP="005A14F1">
      <w:pPr>
        <w:pStyle w:val="ListParagraph"/>
        <w:numPr>
          <w:ilvl w:val="0"/>
          <w:numId w:val="4"/>
        </w:numPr>
        <w:spacing w:before="120"/>
        <w:contextualSpacing w:val="0"/>
      </w:pPr>
      <w:r>
        <w:t>Open enrollment for personnel lines of insurance began on November 14</w:t>
      </w:r>
      <w:r w:rsidRPr="007B6BAE">
        <w:rPr>
          <w:vertAlign w:val="superscript"/>
        </w:rPr>
        <w:t>th</w:t>
      </w:r>
      <w:r>
        <w:t xml:space="preserve"> and will end on December 16</w:t>
      </w:r>
      <w:r w:rsidRPr="007B6BAE">
        <w:rPr>
          <w:vertAlign w:val="superscript"/>
        </w:rPr>
        <w:t>th</w:t>
      </w:r>
      <w:r>
        <w:t xml:space="preserve">. </w:t>
      </w:r>
    </w:p>
    <w:p w:rsidR="005A14F1" w:rsidRDefault="005A14F1" w:rsidP="005A14F1">
      <w:pPr>
        <w:pStyle w:val="ListParagraph"/>
        <w:numPr>
          <w:ilvl w:val="0"/>
          <w:numId w:val="4"/>
        </w:numPr>
        <w:spacing w:before="120"/>
        <w:contextualSpacing w:val="0"/>
      </w:pPr>
      <w:r>
        <w:t>The annual performance evaluation process for staff has begun. I will be meeting with the six people who report to me directly in December.</w:t>
      </w:r>
    </w:p>
    <w:p w:rsidR="005A14F1" w:rsidRDefault="005A14F1" w:rsidP="005A14F1"/>
    <w:p w:rsidR="005A14F1" w:rsidRDefault="005A14F1" w:rsidP="005A14F1"/>
    <w:p w:rsidR="005A14F1" w:rsidRDefault="005A14F1" w:rsidP="005A14F1">
      <w:pPr>
        <w:spacing w:before="120"/>
        <w:rPr>
          <w:b/>
        </w:rPr>
      </w:pPr>
      <w:r w:rsidRPr="00001559">
        <w:rPr>
          <w:b/>
        </w:rPr>
        <w:lastRenderedPageBreak/>
        <w:t>Upcoming events</w:t>
      </w:r>
    </w:p>
    <w:p w:rsidR="005A14F1" w:rsidRDefault="005A14F1" w:rsidP="005A14F1">
      <w:pPr>
        <w:pStyle w:val="ListParagraph"/>
        <w:numPr>
          <w:ilvl w:val="0"/>
          <w:numId w:val="8"/>
        </w:numPr>
        <w:spacing w:before="120"/>
        <w:contextualSpacing w:val="0"/>
      </w:pPr>
      <w:r>
        <w:t xml:space="preserve">I will be participating in the training, sponsored by MHANYS, on Wednesday, December 7, 2016 on employing individuals with disabilities </w:t>
      </w:r>
    </w:p>
    <w:p w:rsidR="005A14F1" w:rsidRDefault="005A14F1" w:rsidP="005A14F1">
      <w:pPr>
        <w:pStyle w:val="ListParagraph"/>
        <w:numPr>
          <w:ilvl w:val="0"/>
          <w:numId w:val="8"/>
        </w:numPr>
        <w:spacing w:before="120"/>
        <w:contextualSpacing w:val="0"/>
      </w:pPr>
      <w:r>
        <w:t>I will be volunteering as an employer for Workforce’s Speed Networking Session on December 8</w:t>
      </w:r>
      <w:r w:rsidRPr="006F6B64">
        <w:rPr>
          <w:vertAlign w:val="superscript"/>
        </w:rPr>
        <w:t>th</w:t>
      </w:r>
    </w:p>
    <w:p w:rsidR="005A14F1" w:rsidRDefault="005A14F1" w:rsidP="005A14F1">
      <w:pPr>
        <w:pStyle w:val="ListParagraph"/>
        <w:numPr>
          <w:ilvl w:val="0"/>
          <w:numId w:val="8"/>
        </w:numPr>
        <w:spacing w:before="120"/>
        <w:contextualSpacing w:val="0"/>
      </w:pPr>
      <w:r>
        <w:t>I will be attending the Greene County Chamber of Commerce’s Holiday Party on the evening of December 8th</w:t>
      </w:r>
    </w:p>
    <w:p w:rsidR="00C460C4" w:rsidRDefault="00C460C4"/>
    <w:sectPr w:rsidR="00C460C4" w:rsidSect="00554F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panose1 w:val="02070303000000060000"/>
    <w:charset w:val="00"/>
    <w:family w:val="roman"/>
    <w:notTrueType/>
    <w:pitch w:val="variable"/>
    <w:sig w:usb0="800000AF"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510AE2"/>
    <w:multiLevelType w:val="hybridMultilevel"/>
    <w:tmpl w:val="88326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0"/>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050F0F"/>
    <w:rsid w:val="0017501B"/>
    <w:rsid w:val="00191FE7"/>
    <w:rsid w:val="002139E0"/>
    <w:rsid w:val="002D423D"/>
    <w:rsid w:val="0036512F"/>
    <w:rsid w:val="0037533D"/>
    <w:rsid w:val="00393BD5"/>
    <w:rsid w:val="003B22DA"/>
    <w:rsid w:val="004207AD"/>
    <w:rsid w:val="004409DD"/>
    <w:rsid w:val="00474074"/>
    <w:rsid w:val="004A56C5"/>
    <w:rsid w:val="004E7258"/>
    <w:rsid w:val="00501874"/>
    <w:rsid w:val="00554FED"/>
    <w:rsid w:val="00573FD7"/>
    <w:rsid w:val="005A14F1"/>
    <w:rsid w:val="00664E57"/>
    <w:rsid w:val="006946AD"/>
    <w:rsid w:val="006D030C"/>
    <w:rsid w:val="006F0FE0"/>
    <w:rsid w:val="00716601"/>
    <w:rsid w:val="00724E32"/>
    <w:rsid w:val="00745DAE"/>
    <w:rsid w:val="007748CD"/>
    <w:rsid w:val="00801775"/>
    <w:rsid w:val="00847119"/>
    <w:rsid w:val="008B5C76"/>
    <w:rsid w:val="00967DA1"/>
    <w:rsid w:val="00A606EC"/>
    <w:rsid w:val="00B24D27"/>
    <w:rsid w:val="00B34A36"/>
    <w:rsid w:val="00B770A1"/>
    <w:rsid w:val="00C460C4"/>
    <w:rsid w:val="00C922E6"/>
    <w:rsid w:val="00CE238E"/>
    <w:rsid w:val="00D24A3C"/>
    <w:rsid w:val="00D47589"/>
    <w:rsid w:val="00E072ED"/>
    <w:rsid w:val="00E6731B"/>
    <w:rsid w:val="00EB6B51"/>
    <w:rsid w:val="00EE1086"/>
    <w:rsid w:val="00F410BD"/>
    <w:rsid w:val="00F52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203979088">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878852770">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CK8NJSSO\CCCHC%20Executive%20Committe%20Fiscal%20Highlights%2011-30-2016%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CK8NJSSO\CCCHC%20Executive%20Committe%20Fiscal%20Highlights%2011-30-2016%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384946236559138"/>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2812799597655085E-2"/>
          <c:y val="0.14011238421873981"/>
          <c:w val="0.89683407339896781"/>
          <c:h val="0.72658372224319179"/>
        </c:manualLayout>
      </c:layout>
      <c:lineChart>
        <c:grouping val="standard"/>
        <c:varyColors val="0"/>
        <c:ser>
          <c:idx val="0"/>
          <c:order val="0"/>
          <c:tx>
            <c:strRef>
              <c:f>Data!$B$3</c:f>
              <c:strCache>
                <c:ptCount val="1"/>
                <c:pt idx="0">
                  <c:v>Balance</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Data!$A$4:$A$241</c:f>
              <c:numCache>
                <c:formatCode>m/d/yyyy</c:formatCode>
                <c:ptCount val="238"/>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pt idx="124" formatCode="[$-F800]dddd\,\ mmmm\ dd\,\ yyyy">
                  <c:v>42544</c:v>
                </c:pt>
                <c:pt idx="125" formatCode="[$-F800]dddd\,\ mmmm\ dd\,\ yyyy">
                  <c:v>42545</c:v>
                </c:pt>
                <c:pt idx="126" formatCode="[$-F800]dddd\,\ mmmm\ dd\,\ yyyy">
                  <c:v>42548</c:v>
                </c:pt>
                <c:pt idx="127" formatCode="[$-F800]dddd\,\ mmmm\ dd\,\ yyyy">
                  <c:v>42549</c:v>
                </c:pt>
                <c:pt idx="128" formatCode="[$-F800]dddd\,\ mmmm\ dd\,\ yyyy">
                  <c:v>42550</c:v>
                </c:pt>
                <c:pt idx="129" formatCode="[$-F800]dddd\,\ mmmm\ dd\,\ yyyy">
                  <c:v>42551</c:v>
                </c:pt>
                <c:pt idx="130" formatCode="[$-F800]dddd\,\ mmmm\ dd\,\ yyyy">
                  <c:v>42552</c:v>
                </c:pt>
                <c:pt idx="131" formatCode="[$-F800]dddd\,\ mmmm\ dd\,\ yyyy">
                  <c:v>42555</c:v>
                </c:pt>
                <c:pt idx="132" formatCode="[$-F800]dddd\,\ mmmm\ dd\,\ yyyy">
                  <c:v>42556</c:v>
                </c:pt>
                <c:pt idx="133" formatCode="[$-F800]dddd\,\ mmmm\ dd\,\ yyyy">
                  <c:v>42557</c:v>
                </c:pt>
                <c:pt idx="134" formatCode="[$-F800]dddd\,\ mmmm\ dd\,\ yyyy">
                  <c:v>42558</c:v>
                </c:pt>
                <c:pt idx="135" formatCode="[$-F800]dddd\,\ mmmm\ dd\,\ yyyy">
                  <c:v>42559</c:v>
                </c:pt>
                <c:pt idx="136" formatCode="[$-F800]dddd\,\ mmmm\ dd\,\ yyyy">
                  <c:v>42562</c:v>
                </c:pt>
                <c:pt idx="137" formatCode="[$-F800]dddd\,\ mmmm\ dd\,\ yyyy">
                  <c:v>42563</c:v>
                </c:pt>
                <c:pt idx="138" formatCode="[$-F800]dddd\,\ mmmm\ dd\,\ yyyy">
                  <c:v>42564</c:v>
                </c:pt>
                <c:pt idx="139" formatCode="[$-F800]dddd\,\ mmmm\ dd\,\ yyyy">
                  <c:v>42565</c:v>
                </c:pt>
                <c:pt idx="140" formatCode="[$-F800]dddd\,\ mmmm\ dd\,\ yyyy">
                  <c:v>42566</c:v>
                </c:pt>
                <c:pt idx="141" formatCode="[$-F800]dddd\,\ mmmm\ dd\,\ yyyy">
                  <c:v>42569</c:v>
                </c:pt>
                <c:pt idx="142" formatCode="[$-F800]dddd\,\ mmmm\ dd\,\ yyyy">
                  <c:v>42570</c:v>
                </c:pt>
                <c:pt idx="143" formatCode="[$-F800]dddd\,\ mmmm\ dd\,\ yyyy">
                  <c:v>42571</c:v>
                </c:pt>
                <c:pt idx="144" formatCode="[$-F800]dddd\,\ mmmm\ dd\,\ yyyy">
                  <c:v>42572</c:v>
                </c:pt>
                <c:pt idx="145" formatCode="[$-F800]dddd\,\ mmmm\ dd\,\ yyyy">
                  <c:v>42573</c:v>
                </c:pt>
                <c:pt idx="146" formatCode="[$-F800]dddd\,\ mmmm\ dd\,\ yyyy">
                  <c:v>42576</c:v>
                </c:pt>
                <c:pt idx="147" formatCode="[$-F800]dddd\,\ mmmm\ dd\,\ yyyy">
                  <c:v>42577</c:v>
                </c:pt>
                <c:pt idx="148" formatCode="[$-F800]dddd\,\ mmmm\ dd\,\ yyyy">
                  <c:v>42578</c:v>
                </c:pt>
                <c:pt idx="149" formatCode="[$-F800]dddd\,\ mmmm\ dd\,\ yyyy">
                  <c:v>42579</c:v>
                </c:pt>
                <c:pt idx="150" formatCode="[$-F800]dddd\,\ mmmm\ dd\,\ yyyy">
                  <c:v>42580</c:v>
                </c:pt>
                <c:pt idx="151" formatCode="[$-F800]dddd\,\ mmmm\ dd\,\ yyyy">
                  <c:v>42583</c:v>
                </c:pt>
                <c:pt idx="152" formatCode="[$-F800]dddd\,\ mmmm\ dd\,\ yyyy">
                  <c:v>42584</c:v>
                </c:pt>
                <c:pt idx="153" formatCode="[$-F800]dddd\,\ mmmm\ dd\,\ yyyy">
                  <c:v>42585</c:v>
                </c:pt>
                <c:pt idx="154" formatCode="[$-F800]dddd\,\ mmmm\ dd\,\ yyyy">
                  <c:v>42586</c:v>
                </c:pt>
                <c:pt idx="155" formatCode="[$-F800]dddd\,\ mmmm\ dd\,\ yyyy">
                  <c:v>42587</c:v>
                </c:pt>
                <c:pt idx="156" formatCode="[$-F800]dddd\,\ mmmm\ dd\,\ yyyy">
                  <c:v>42590</c:v>
                </c:pt>
                <c:pt idx="157" formatCode="[$-F800]dddd\,\ mmmm\ dd\,\ yyyy">
                  <c:v>42591</c:v>
                </c:pt>
                <c:pt idx="158" formatCode="[$-F800]dddd\,\ mmmm\ dd\,\ yyyy">
                  <c:v>42592</c:v>
                </c:pt>
                <c:pt idx="159" formatCode="[$-F800]dddd\,\ mmmm\ dd\,\ yyyy">
                  <c:v>42593</c:v>
                </c:pt>
                <c:pt idx="160" formatCode="[$-F800]dddd\,\ mmmm\ dd\,\ yyyy">
                  <c:v>42594</c:v>
                </c:pt>
                <c:pt idx="161" formatCode="[$-F800]dddd\,\ mmmm\ dd\,\ yyyy">
                  <c:v>42597</c:v>
                </c:pt>
                <c:pt idx="162" formatCode="[$-F800]dddd\,\ mmmm\ dd\,\ yyyy">
                  <c:v>42598</c:v>
                </c:pt>
                <c:pt idx="163" formatCode="[$-F800]dddd\,\ mmmm\ dd\,\ yyyy">
                  <c:v>42599</c:v>
                </c:pt>
                <c:pt idx="164" formatCode="[$-F800]dddd\,\ mmmm\ dd\,\ yyyy">
                  <c:v>42600</c:v>
                </c:pt>
                <c:pt idx="165" formatCode="[$-F800]dddd\,\ mmmm\ dd\,\ yyyy">
                  <c:v>42601</c:v>
                </c:pt>
                <c:pt idx="166" formatCode="[$-F800]dddd\,\ mmmm\ dd\,\ yyyy">
                  <c:v>42604</c:v>
                </c:pt>
                <c:pt idx="167" formatCode="[$-F800]dddd\,\ mmmm\ dd\,\ yyyy">
                  <c:v>42605</c:v>
                </c:pt>
                <c:pt idx="168" formatCode="[$-F800]dddd\,\ mmmm\ dd\,\ yyyy">
                  <c:v>42606</c:v>
                </c:pt>
                <c:pt idx="169" formatCode="[$-F800]dddd\,\ mmmm\ dd\,\ yyyy">
                  <c:v>42607</c:v>
                </c:pt>
                <c:pt idx="170" formatCode="[$-F800]dddd\,\ mmmm\ dd\,\ yyyy">
                  <c:v>42608</c:v>
                </c:pt>
                <c:pt idx="171" formatCode="[$-F800]dddd\,\ mmmm\ dd\,\ yyyy">
                  <c:v>42611</c:v>
                </c:pt>
                <c:pt idx="172" formatCode="[$-F800]dddd\,\ mmmm\ dd\,\ yyyy">
                  <c:v>42612</c:v>
                </c:pt>
                <c:pt idx="173" formatCode="[$-F800]dddd\,\ mmmm\ dd\,\ yyyy">
                  <c:v>42613</c:v>
                </c:pt>
                <c:pt idx="174" formatCode="[$-F800]dddd\,\ mmmm\ dd\,\ yyyy">
                  <c:v>42614</c:v>
                </c:pt>
                <c:pt idx="175" formatCode="[$-F800]dddd\,\ mmmm\ dd\,\ yyyy">
                  <c:v>42615</c:v>
                </c:pt>
                <c:pt idx="176" formatCode="[$-F800]dddd\,\ mmmm\ dd\,\ yyyy">
                  <c:v>42618</c:v>
                </c:pt>
                <c:pt idx="177" formatCode="[$-F800]dddd\,\ mmmm\ dd\,\ yyyy">
                  <c:v>42619</c:v>
                </c:pt>
                <c:pt idx="178" formatCode="[$-F800]dddd\,\ mmmm\ dd\,\ yyyy">
                  <c:v>42620</c:v>
                </c:pt>
                <c:pt idx="179" formatCode="[$-F800]dddd\,\ mmmm\ dd\,\ yyyy">
                  <c:v>42621</c:v>
                </c:pt>
                <c:pt idx="180" formatCode="[$-F800]dddd\,\ mmmm\ dd\,\ yyyy">
                  <c:v>42622</c:v>
                </c:pt>
                <c:pt idx="181" formatCode="[$-F800]dddd\,\ mmmm\ dd\,\ yyyy">
                  <c:v>42625</c:v>
                </c:pt>
                <c:pt idx="182" formatCode="[$-F800]dddd\,\ mmmm\ dd\,\ yyyy">
                  <c:v>42626</c:v>
                </c:pt>
                <c:pt idx="183" formatCode="[$-F800]dddd\,\ mmmm\ dd\,\ yyyy">
                  <c:v>42627</c:v>
                </c:pt>
                <c:pt idx="184" formatCode="[$-F800]dddd\,\ mmmm\ dd\,\ yyyy">
                  <c:v>42628</c:v>
                </c:pt>
                <c:pt idx="185" formatCode="[$-F800]dddd\,\ mmmm\ dd\,\ yyyy">
                  <c:v>42629</c:v>
                </c:pt>
                <c:pt idx="186" formatCode="[$-F800]dddd\,\ mmmm\ dd\,\ yyyy">
                  <c:v>42632</c:v>
                </c:pt>
                <c:pt idx="187" formatCode="[$-F800]dddd\,\ mmmm\ dd\,\ yyyy">
                  <c:v>42633</c:v>
                </c:pt>
                <c:pt idx="188" formatCode="[$-F800]dddd\,\ mmmm\ dd\,\ yyyy">
                  <c:v>42634</c:v>
                </c:pt>
                <c:pt idx="189" formatCode="[$-F800]dddd\,\ mmmm\ dd\,\ yyyy">
                  <c:v>42635</c:v>
                </c:pt>
                <c:pt idx="190" formatCode="[$-F800]dddd\,\ mmmm\ dd\,\ yyyy">
                  <c:v>42636</c:v>
                </c:pt>
                <c:pt idx="191" formatCode="[$-F800]dddd\,\ mmmm\ dd\,\ yyyy">
                  <c:v>42639</c:v>
                </c:pt>
                <c:pt idx="192" formatCode="[$-F800]dddd\,\ mmmm\ dd\,\ yyyy">
                  <c:v>42640</c:v>
                </c:pt>
                <c:pt idx="193" formatCode="[$-F800]dddd\,\ mmmm\ dd\,\ yyyy">
                  <c:v>42641</c:v>
                </c:pt>
                <c:pt idx="194" formatCode="[$-F800]dddd\,\ mmmm\ dd\,\ yyyy">
                  <c:v>42642</c:v>
                </c:pt>
                <c:pt idx="195" formatCode="[$-F800]dddd\,\ mmmm\ dd\,\ yyyy">
                  <c:v>42643</c:v>
                </c:pt>
                <c:pt idx="196" formatCode="[$-F800]dddd\,\ mmmm\ dd\,\ yyyy">
                  <c:v>42646</c:v>
                </c:pt>
                <c:pt idx="197" formatCode="[$-F800]dddd\,\ mmmm\ dd\,\ yyyy">
                  <c:v>42647</c:v>
                </c:pt>
                <c:pt idx="198" formatCode="[$-F800]dddd\,\ mmmm\ dd\,\ yyyy">
                  <c:v>42648</c:v>
                </c:pt>
                <c:pt idx="199" formatCode="[$-F800]dddd\,\ mmmm\ dd\,\ yyyy">
                  <c:v>42649</c:v>
                </c:pt>
                <c:pt idx="200" formatCode="[$-F800]dddd\,\ mmmm\ dd\,\ yyyy">
                  <c:v>42650</c:v>
                </c:pt>
                <c:pt idx="201" formatCode="[$-F800]dddd\,\ mmmm\ dd\,\ yyyy">
                  <c:v>42653</c:v>
                </c:pt>
                <c:pt idx="202" formatCode="[$-F800]dddd\,\ mmmm\ dd\,\ yyyy">
                  <c:v>42654</c:v>
                </c:pt>
                <c:pt idx="203" formatCode="[$-F800]dddd\,\ mmmm\ dd\,\ yyyy">
                  <c:v>42655</c:v>
                </c:pt>
                <c:pt idx="204" formatCode="[$-F800]dddd\,\ mmmm\ dd\,\ yyyy">
                  <c:v>42656</c:v>
                </c:pt>
                <c:pt idx="205" formatCode="[$-F800]dddd\,\ mmmm\ dd\,\ yyyy">
                  <c:v>42657</c:v>
                </c:pt>
                <c:pt idx="206" formatCode="[$-F800]dddd\,\ mmmm\ dd\,\ yyyy">
                  <c:v>42660</c:v>
                </c:pt>
                <c:pt idx="207" formatCode="[$-F800]dddd\,\ mmmm\ dd\,\ yyyy">
                  <c:v>42661</c:v>
                </c:pt>
                <c:pt idx="208" formatCode="[$-F800]dddd\,\ mmmm\ dd\,\ yyyy">
                  <c:v>42662</c:v>
                </c:pt>
                <c:pt idx="209" formatCode="[$-F800]dddd\,\ mmmm\ dd\,\ yyyy">
                  <c:v>42663</c:v>
                </c:pt>
                <c:pt idx="210" formatCode="[$-F800]dddd\,\ mmmm\ dd\,\ yyyy">
                  <c:v>42664</c:v>
                </c:pt>
                <c:pt idx="211" formatCode="[$-F800]dddd\,\ mmmm\ dd\,\ yyyy">
                  <c:v>42667</c:v>
                </c:pt>
                <c:pt idx="212" formatCode="[$-F800]dddd\,\ mmmm\ dd\,\ yyyy">
                  <c:v>42668</c:v>
                </c:pt>
                <c:pt idx="213" formatCode="[$-F800]dddd\,\ mmmm\ dd\,\ yyyy">
                  <c:v>42669</c:v>
                </c:pt>
                <c:pt idx="214" formatCode="[$-F800]dddd\,\ mmmm\ dd\,\ yyyy">
                  <c:v>42670</c:v>
                </c:pt>
                <c:pt idx="215" formatCode="[$-F800]dddd\,\ mmmm\ dd\,\ yyyy">
                  <c:v>42671</c:v>
                </c:pt>
                <c:pt idx="216" formatCode="[$-F800]dddd\,\ mmmm\ dd\,\ yyyy">
                  <c:v>42674</c:v>
                </c:pt>
                <c:pt idx="217" formatCode="[$-F800]dddd\,\ mmmm\ dd\,\ yyyy">
                  <c:v>42675</c:v>
                </c:pt>
                <c:pt idx="218" formatCode="[$-F800]dddd\,\ mmmm\ dd\,\ yyyy">
                  <c:v>42676</c:v>
                </c:pt>
                <c:pt idx="219" formatCode="[$-F800]dddd\,\ mmmm\ dd\,\ yyyy">
                  <c:v>42677</c:v>
                </c:pt>
                <c:pt idx="220" formatCode="[$-F800]dddd\,\ mmmm\ dd\,\ yyyy">
                  <c:v>42678</c:v>
                </c:pt>
                <c:pt idx="221" formatCode="[$-F800]dddd\,\ mmmm\ dd\,\ yyyy">
                  <c:v>42681</c:v>
                </c:pt>
                <c:pt idx="222" formatCode="[$-F800]dddd\,\ mmmm\ dd\,\ yyyy">
                  <c:v>42682</c:v>
                </c:pt>
                <c:pt idx="223" formatCode="[$-F800]dddd\,\ mmmm\ dd\,\ yyyy">
                  <c:v>42683</c:v>
                </c:pt>
                <c:pt idx="224" formatCode="[$-F800]dddd\,\ mmmm\ dd\,\ yyyy">
                  <c:v>42684</c:v>
                </c:pt>
                <c:pt idx="225" formatCode="[$-F800]dddd\,\ mmmm\ dd\,\ yyyy">
                  <c:v>42685</c:v>
                </c:pt>
                <c:pt idx="226" formatCode="[$-F800]dddd\,\ mmmm\ dd\,\ yyyy">
                  <c:v>42688</c:v>
                </c:pt>
                <c:pt idx="227" formatCode="[$-F800]dddd\,\ mmmm\ dd\,\ yyyy">
                  <c:v>42689</c:v>
                </c:pt>
                <c:pt idx="228" formatCode="[$-F800]dddd\,\ mmmm\ dd\,\ yyyy">
                  <c:v>42690</c:v>
                </c:pt>
                <c:pt idx="229" formatCode="[$-F800]dddd\,\ mmmm\ dd\,\ yyyy">
                  <c:v>42691</c:v>
                </c:pt>
                <c:pt idx="230" formatCode="[$-F800]dddd\,\ mmmm\ dd\,\ yyyy">
                  <c:v>42692</c:v>
                </c:pt>
                <c:pt idx="231" formatCode="[$-F800]dddd\,\ mmmm\ dd\,\ yyyy">
                  <c:v>42695</c:v>
                </c:pt>
                <c:pt idx="232" formatCode="[$-F800]dddd\,\ mmmm\ dd\,\ yyyy">
                  <c:v>42696</c:v>
                </c:pt>
                <c:pt idx="233" formatCode="[$-F800]dddd\,\ mmmm\ dd\,\ yyyy">
                  <c:v>42697</c:v>
                </c:pt>
                <c:pt idx="234" formatCode="[$-F800]dddd\,\ mmmm\ dd\,\ yyyy">
                  <c:v>42698</c:v>
                </c:pt>
                <c:pt idx="235" formatCode="[$-F800]dddd\,\ mmmm\ dd\,\ yyyy">
                  <c:v>42699</c:v>
                </c:pt>
                <c:pt idx="236" formatCode="[$-F800]dddd\,\ mmmm\ dd\,\ yyyy">
                  <c:v>42702</c:v>
                </c:pt>
                <c:pt idx="237" formatCode="[$-F800]dddd\,\ mmmm\ dd\,\ yyyy">
                  <c:v>42703</c:v>
                </c:pt>
              </c:numCache>
            </c:numRef>
          </c:cat>
          <c:val>
            <c:numRef>
              <c:f>Data!$B$4:$B$241</c:f>
              <c:numCache>
                <c:formatCode>#,##0_);[Red]\(#,##0\)</c:formatCode>
                <c:ptCount val="238"/>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pt idx="124">
                  <c:v>240780.4</c:v>
                </c:pt>
                <c:pt idx="125">
                  <c:v>240780</c:v>
                </c:pt>
                <c:pt idx="126">
                  <c:v>205735.12</c:v>
                </c:pt>
                <c:pt idx="127">
                  <c:v>207489.37</c:v>
                </c:pt>
                <c:pt idx="128">
                  <c:v>213757.9</c:v>
                </c:pt>
                <c:pt idx="129">
                  <c:v>220332.56</c:v>
                </c:pt>
                <c:pt idx="130">
                  <c:v>212813.84</c:v>
                </c:pt>
                <c:pt idx="131">
                  <c:v>212814</c:v>
                </c:pt>
                <c:pt idx="132">
                  <c:v>236539.45</c:v>
                </c:pt>
                <c:pt idx="133">
                  <c:v>234224.42</c:v>
                </c:pt>
                <c:pt idx="134">
                  <c:v>234132.08</c:v>
                </c:pt>
                <c:pt idx="135">
                  <c:v>234132.08</c:v>
                </c:pt>
                <c:pt idx="136">
                  <c:v>199890.85</c:v>
                </c:pt>
                <c:pt idx="137">
                  <c:v>221114.27</c:v>
                </c:pt>
                <c:pt idx="138">
                  <c:v>221114</c:v>
                </c:pt>
                <c:pt idx="139">
                  <c:v>214752.25</c:v>
                </c:pt>
                <c:pt idx="140">
                  <c:v>294578.96999999997</c:v>
                </c:pt>
                <c:pt idx="141">
                  <c:v>294579</c:v>
                </c:pt>
                <c:pt idx="142">
                  <c:v>294579</c:v>
                </c:pt>
                <c:pt idx="143">
                  <c:v>328195.42</c:v>
                </c:pt>
                <c:pt idx="144">
                  <c:v>407865.86</c:v>
                </c:pt>
                <c:pt idx="145">
                  <c:v>409053.93</c:v>
                </c:pt>
                <c:pt idx="146">
                  <c:v>372421.56</c:v>
                </c:pt>
                <c:pt idx="147">
                  <c:v>375562.78</c:v>
                </c:pt>
                <c:pt idx="148">
                  <c:v>375563</c:v>
                </c:pt>
                <c:pt idx="149">
                  <c:v>366510.98</c:v>
                </c:pt>
                <c:pt idx="150">
                  <c:v>366609.48</c:v>
                </c:pt>
                <c:pt idx="151">
                  <c:v>382689.69</c:v>
                </c:pt>
                <c:pt idx="152">
                  <c:v>382690</c:v>
                </c:pt>
                <c:pt idx="153">
                  <c:v>387013.59</c:v>
                </c:pt>
                <c:pt idx="154">
                  <c:v>382543.7</c:v>
                </c:pt>
                <c:pt idx="155">
                  <c:v>382544</c:v>
                </c:pt>
                <c:pt idx="156">
                  <c:v>344510.17</c:v>
                </c:pt>
                <c:pt idx="157">
                  <c:v>350095.94</c:v>
                </c:pt>
                <c:pt idx="158">
                  <c:v>350096</c:v>
                </c:pt>
                <c:pt idx="159">
                  <c:v>355079.15</c:v>
                </c:pt>
                <c:pt idx="160">
                  <c:v>356502.11</c:v>
                </c:pt>
                <c:pt idx="161">
                  <c:v>408622.46</c:v>
                </c:pt>
                <c:pt idx="162">
                  <c:v>408622</c:v>
                </c:pt>
                <c:pt idx="163">
                  <c:v>408622</c:v>
                </c:pt>
                <c:pt idx="164">
                  <c:v>409931.67</c:v>
                </c:pt>
                <c:pt idx="165">
                  <c:v>410189.3</c:v>
                </c:pt>
                <c:pt idx="166">
                  <c:v>370399.56</c:v>
                </c:pt>
                <c:pt idx="167">
                  <c:v>370399.56</c:v>
                </c:pt>
                <c:pt idx="168">
                  <c:v>370400</c:v>
                </c:pt>
                <c:pt idx="169">
                  <c:v>359591.19</c:v>
                </c:pt>
                <c:pt idx="170">
                  <c:v>399163.14</c:v>
                </c:pt>
                <c:pt idx="171">
                  <c:v>407196.62</c:v>
                </c:pt>
                <c:pt idx="172">
                  <c:v>422526.97</c:v>
                </c:pt>
                <c:pt idx="173">
                  <c:v>479216.05</c:v>
                </c:pt>
                <c:pt idx="174">
                  <c:v>479216</c:v>
                </c:pt>
                <c:pt idx="175">
                  <c:v>479216</c:v>
                </c:pt>
                <c:pt idx="176">
                  <c:v>479216</c:v>
                </c:pt>
                <c:pt idx="177">
                  <c:v>440784.82</c:v>
                </c:pt>
                <c:pt idx="178">
                  <c:v>440785</c:v>
                </c:pt>
                <c:pt idx="179">
                  <c:v>445373.31</c:v>
                </c:pt>
                <c:pt idx="180">
                  <c:v>463896.46</c:v>
                </c:pt>
                <c:pt idx="181">
                  <c:v>463296.46</c:v>
                </c:pt>
                <c:pt idx="182">
                  <c:v>465024.54</c:v>
                </c:pt>
                <c:pt idx="183">
                  <c:v>465025</c:v>
                </c:pt>
                <c:pt idx="184">
                  <c:v>447444.34</c:v>
                </c:pt>
                <c:pt idx="185">
                  <c:v>451135.42</c:v>
                </c:pt>
                <c:pt idx="186">
                  <c:v>413924.51</c:v>
                </c:pt>
                <c:pt idx="187">
                  <c:v>395080.96000000002</c:v>
                </c:pt>
                <c:pt idx="188">
                  <c:v>393852.1</c:v>
                </c:pt>
                <c:pt idx="189">
                  <c:v>397757.18</c:v>
                </c:pt>
                <c:pt idx="190">
                  <c:v>397757</c:v>
                </c:pt>
                <c:pt idx="191">
                  <c:v>397757</c:v>
                </c:pt>
                <c:pt idx="192">
                  <c:v>403105.59</c:v>
                </c:pt>
                <c:pt idx="193">
                  <c:v>394170.51</c:v>
                </c:pt>
                <c:pt idx="194">
                  <c:v>397917.56</c:v>
                </c:pt>
                <c:pt idx="195">
                  <c:v>397918</c:v>
                </c:pt>
                <c:pt idx="196">
                  <c:v>361701.8</c:v>
                </c:pt>
                <c:pt idx="197">
                  <c:v>362031.95</c:v>
                </c:pt>
                <c:pt idx="198">
                  <c:v>362032</c:v>
                </c:pt>
                <c:pt idx="199">
                  <c:v>360433.13</c:v>
                </c:pt>
                <c:pt idx="200">
                  <c:v>361754.66</c:v>
                </c:pt>
                <c:pt idx="201">
                  <c:v>361755</c:v>
                </c:pt>
                <c:pt idx="202">
                  <c:v>361755</c:v>
                </c:pt>
                <c:pt idx="203">
                  <c:v>365429.62</c:v>
                </c:pt>
                <c:pt idx="204">
                  <c:v>375400.83</c:v>
                </c:pt>
                <c:pt idx="205">
                  <c:v>375484.03</c:v>
                </c:pt>
                <c:pt idx="206">
                  <c:v>339702.96</c:v>
                </c:pt>
                <c:pt idx="207">
                  <c:v>343741.39</c:v>
                </c:pt>
                <c:pt idx="208">
                  <c:v>343741</c:v>
                </c:pt>
                <c:pt idx="209">
                  <c:v>332267.31</c:v>
                </c:pt>
                <c:pt idx="210">
                  <c:v>332414.40000000002</c:v>
                </c:pt>
                <c:pt idx="211">
                  <c:v>332414</c:v>
                </c:pt>
                <c:pt idx="212">
                  <c:v>337017.73</c:v>
                </c:pt>
                <c:pt idx="213">
                  <c:v>337018</c:v>
                </c:pt>
                <c:pt idx="214">
                  <c:v>333117.59999999998</c:v>
                </c:pt>
                <c:pt idx="215">
                  <c:v>360997.37</c:v>
                </c:pt>
                <c:pt idx="216">
                  <c:v>350571.59</c:v>
                </c:pt>
                <c:pt idx="217">
                  <c:v>350943.55</c:v>
                </c:pt>
                <c:pt idx="218">
                  <c:v>350944</c:v>
                </c:pt>
                <c:pt idx="219">
                  <c:v>344152.98</c:v>
                </c:pt>
                <c:pt idx="220">
                  <c:v>399088.61</c:v>
                </c:pt>
                <c:pt idx="221">
                  <c:v>399089</c:v>
                </c:pt>
                <c:pt idx="222">
                  <c:v>403671.63</c:v>
                </c:pt>
                <c:pt idx="223">
                  <c:v>403672</c:v>
                </c:pt>
                <c:pt idx="224">
                  <c:v>383481.59</c:v>
                </c:pt>
                <c:pt idx="225">
                  <c:v>383481</c:v>
                </c:pt>
                <c:pt idx="226">
                  <c:v>347721.94</c:v>
                </c:pt>
                <c:pt idx="227">
                  <c:v>347836.75</c:v>
                </c:pt>
                <c:pt idx="228">
                  <c:v>347837</c:v>
                </c:pt>
                <c:pt idx="229">
                  <c:v>350935.56</c:v>
                </c:pt>
                <c:pt idx="230">
                  <c:v>350936</c:v>
                </c:pt>
                <c:pt idx="231">
                  <c:v>350936</c:v>
                </c:pt>
                <c:pt idx="232">
                  <c:v>351588.06</c:v>
                </c:pt>
                <c:pt idx="233">
                  <c:v>349477.96</c:v>
                </c:pt>
                <c:pt idx="234">
                  <c:v>349478</c:v>
                </c:pt>
                <c:pt idx="235">
                  <c:v>368170.7</c:v>
                </c:pt>
                <c:pt idx="236">
                  <c:v>368170.7</c:v>
                </c:pt>
                <c:pt idx="237">
                  <c:v>328902.64</c:v>
                </c:pt>
              </c:numCache>
            </c:numRef>
          </c:val>
          <c:smooth val="0"/>
        </c:ser>
        <c:dLbls>
          <c:showLegendKey val="0"/>
          <c:showVal val="0"/>
          <c:showCatName val="0"/>
          <c:showSerName val="0"/>
          <c:showPercent val="0"/>
          <c:showBubbleSize val="0"/>
        </c:dLbls>
        <c:smooth val="0"/>
        <c:axId val="228262464"/>
        <c:axId val="181682128"/>
      </c:lineChart>
      <c:dateAx>
        <c:axId val="22826246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682128"/>
        <c:crosses val="autoZero"/>
        <c:auto val="1"/>
        <c:lblOffset val="100"/>
        <c:baseTimeUnit val="days"/>
      </c:dateAx>
      <c:valAx>
        <c:axId val="181682128"/>
        <c:scaling>
          <c:orientation val="minMax"/>
        </c:scaling>
        <c:delete val="0"/>
        <c:axPos val="l"/>
        <c:majorGridlines>
          <c:spPr>
            <a:ln w="9525" cap="flat" cmpd="sng" algn="ctr">
              <a:solidFill>
                <a:schemeClr val="accent1"/>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262464"/>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6567815903"/>
          <c:y val="0.16245370370370371"/>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'Fiscal Highlights'!$V$45:$V$71</c:f>
              <c:numCache>
                <c:formatCode>General</c:formatCode>
                <c:ptCount val="27"/>
                <c:pt idx="9" formatCode="mmm\-yy">
                  <c:v>42278</c:v>
                </c:pt>
                <c:pt idx="10" formatCode="mmm\-yy">
                  <c:v>42309</c:v>
                </c:pt>
                <c:pt idx="11" formatCode="mmm\-yy">
                  <c:v>42339</c:v>
                </c:pt>
                <c:pt idx="12" formatCode="mmm\-yy">
                  <c:v>42370</c:v>
                </c:pt>
                <c:pt idx="13" formatCode="mmm\-yy">
                  <c:v>42401</c:v>
                </c:pt>
                <c:pt idx="14" formatCode="mmm\-yy">
                  <c:v>42430</c:v>
                </c:pt>
                <c:pt idx="15" formatCode="mmm\-yy">
                  <c:v>42461</c:v>
                </c:pt>
                <c:pt idx="16" formatCode="mmm\-yy">
                  <c:v>42491</c:v>
                </c:pt>
                <c:pt idx="17" formatCode="mmm\-yy">
                  <c:v>42551</c:v>
                </c:pt>
                <c:pt idx="18" formatCode="mmm\-yy">
                  <c:v>42582</c:v>
                </c:pt>
                <c:pt idx="19" formatCode="mmm\-yy">
                  <c:v>42583</c:v>
                </c:pt>
                <c:pt idx="20" formatCode="mmm\-yy">
                  <c:v>42614</c:v>
                </c:pt>
                <c:pt idx="21" formatCode="mmm\-yy">
                  <c:v>42644</c:v>
                </c:pt>
              </c:numCache>
            </c:numRef>
          </c:cat>
          <c:val>
            <c:numRef>
              <c:f>'Fiscal Highlights'!$W$45:$W$71</c:f>
              <c:numCache>
                <c:formatCode>General</c:formatCode>
                <c:ptCount val="27"/>
                <c:pt idx="9" formatCode="&quot;$&quot;#,##0_);[Red]\(&quot;$&quot;#,##0\)">
                  <c:v>224005.57</c:v>
                </c:pt>
                <c:pt idx="10" formatCode="&quot;$&quot;#,##0_);[Red]\(&quot;$&quot;#,##0\)">
                  <c:v>212998.66</c:v>
                </c:pt>
                <c:pt idx="11" formatCode="&quot;$&quot;#,##0_);[Red]\(&quot;$&quot;#,##0\)">
                  <c:v>256955.64</c:v>
                </c:pt>
                <c:pt idx="12" formatCode="&quot;$&quot;#,##0_);[Red]\(&quot;$&quot;#,##0\)">
                  <c:v>368765.26</c:v>
                </c:pt>
                <c:pt idx="13" formatCode="&quot;$&quot;#,##0_);[Red]\(&quot;$&quot;#,##0\)">
                  <c:v>294586.56</c:v>
                </c:pt>
                <c:pt idx="14" formatCode="&quot;$&quot;#,##0_);[Red]\(&quot;$&quot;#,##0\)">
                  <c:v>253840.62</c:v>
                </c:pt>
                <c:pt idx="15" formatCode="&quot;$&quot;#,##0_);[Red]\(&quot;$&quot;#,##0\)">
                  <c:v>293900.99</c:v>
                </c:pt>
                <c:pt idx="16" formatCode="&quot;$&quot;#,##0_);[Red]\(&quot;$&quot;#,##0\)">
                  <c:v>333724.05</c:v>
                </c:pt>
                <c:pt idx="17" formatCode="&quot;$&quot;#,##0_);[Red]\(&quot;$&quot;#,##0\)">
                  <c:v>383807.83</c:v>
                </c:pt>
                <c:pt idx="18" formatCode="&quot;$&quot;#,##0_);[Red]\(&quot;$&quot;#,##0\)">
                  <c:v>291806.19</c:v>
                </c:pt>
                <c:pt idx="19" formatCode="&quot;$&quot;#,##0_);[Red]\(&quot;$&quot;#,##0\)">
                  <c:v>182364.32</c:v>
                </c:pt>
                <c:pt idx="20" formatCode="&quot;$&quot;#,##0_);[Red]\(&quot;$&quot;#,##0\)">
                  <c:v>242248.89</c:v>
                </c:pt>
                <c:pt idx="21" formatCode="&quot;$&quot;#,##0_);[Red]\(&quot;$&quot;#,##0\)">
                  <c:v>246138.77</c:v>
                </c:pt>
              </c:numCache>
            </c:numRef>
          </c:val>
        </c:ser>
        <c:dLbls>
          <c:showLegendKey val="0"/>
          <c:showVal val="0"/>
          <c:showCatName val="0"/>
          <c:showSerName val="0"/>
          <c:showPercent val="0"/>
          <c:showBubbleSize val="0"/>
        </c:dLbls>
        <c:gapWidth val="219"/>
        <c:overlap val="-27"/>
        <c:axId val="181682912"/>
        <c:axId val="181683304"/>
      </c:barChart>
      <c:dateAx>
        <c:axId val="1816829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683304"/>
        <c:crosses val="autoZero"/>
        <c:auto val="1"/>
        <c:lblOffset val="100"/>
        <c:baseTimeUnit val="months"/>
      </c:dateAx>
      <c:valAx>
        <c:axId val="181683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682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885E9-ADA9-4159-84F9-42297627E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2553</Words>
  <Characters>14558</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2016-11-30T20:42:00Z</dcterms:created>
  <dcterms:modified xsi:type="dcterms:W3CDTF">2016-11-30T20:42:00Z</dcterms:modified>
</cp:coreProperties>
</file>