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C27C64">
            <w:pPr>
              <w:rPr>
                <w:b/>
              </w:rPr>
            </w:pPr>
            <w:r w:rsidRPr="001E0050">
              <w:rPr>
                <w:b/>
              </w:rPr>
              <w:t xml:space="preserve">Date:    </w:t>
            </w:r>
            <w:r w:rsidR="00C27C64">
              <w:rPr>
                <w:b/>
              </w:rPr>
              <w:t>November 15</w:t>
            </w:r>
            <w:r w:rsidR="009D18D2">
              <w:rPr>
                <w:b/>
              </w:rPr>
              <w:t>, 2016</w:t>
            </w:r>
          </w:p>
        </w:tc>
      </w:tr>
      <w:tr w:rsidR="00D81AA6" w:rsidRPr="001E0050" w:rsidTr="005E7D1E">
        <w:trPr>
          <w:trHeight w:val="275"/>
        </w:trPr>
        <w:tc>
          <w:tcPr>
            <w:tcW w:w="10789" w:type="dxa"/>
            <w:gridSpan w:val="2"/>
            <w:vMerge w:val="restart"/>
          </w:tcPr>
          <w:p w:rsidR="00D81AA6" w:rsidRPr="001E0050" w:rsidRDefault="00D81AA6" w:rsidP="001E0050">
            <w:pPr>
              <w:rPr>
                <w:b/>
              </w:rPr>
            </w:pPr>
            <w:r w:rsidRPr="001E0050">
              <w:rPr>
                <w:b/>
              </w:rPr>
              <w:t>Board Members Attending:</w:t>
            </w:r>
            <w:r w:rsidR="003F79C4">
              <w:rPr>
                <w:b/>
              </w:rPr>
              <w:t xml:space="preserve"> </w:t>
            </w:r>
            <w:r w:rsidR="00C27C64">
              <w:rPr>
                <w:b/>
              </w:rPr>
              <w:t>Robin Andrews, Ken Stall</w:t>
            </w:r>
          </w:p>
          <w:p w:rsidR="00D81AA6" w:rsidRPr="001E0050" w:rsidRDefault="00D81AA6" w:rsidP="00C27C64">
            <w:r w:rsidRPr="001E0050">
              <w:rPr>
                <w:b/>
              </w:rPr>
              <w:t xml:space="preserve">Board Members Absent:  </w:t>
            </w:r>
            <w:r w:rsidR="00C27C64" w:rsidRPr="001E0050">
              <w:rPr>
                <w:b/>
              </w:rPr>
              <w:t>Jim Campion</w:t>
            </w:r>
            <w:r w:rsidR="00810247">
              <w:rPr>
                <w:b/>
              </w:rPr>
              <w:t xml:space="preserve">, </w:t>
            </w:r>
            <w:r w:rsidR="003F79C4">
              <w:rPr>
                <w:b/>
              </w:rPr>
              <w:t>PJ Keeler</w:t>
            </w:r>
            <w:r w:rsidR="00810247">
              <w:rPr>
                <w:b/>
              </w:rPr>
              <w:t xml:space="preserve">, Lisa Evans, Chelly Hegan </w:t>
            </w:r>
          </w:p>
        </w:tc>
        <w:tc>
          <w:tcPr>
            <w:tcW w:w="3791" w:type="dxa"/>
          </w:tcPr>
          <w:p w:rsidR="00D81AA6" w:rsidRPr="001E0050" w:rsidRDefault="00D81AA6" w:rsidP="00C27C64">
            <w:pPr>
              <w:rPr>
                <w:b/>
              </w:rPr>
            </w:pPr>
            <w:r w:rsidRPr="001E0050">
              <w:rPr>
                <w:b/>
              </w:rPr>
              <w:t xml:space="preserve">Guests: </w:t>
            </w:r>
            <w:r w:rsidR="00C27C64">
              <w:rPr>
                <w:b/>
              </w:rPr>
              <w:t>None</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C27C64"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C27C64" w:rsidRPr="001E0050" w:rsidRDefault="00C27C64" w:rsidP="00EC75A2">
            <w:pPr>
              <w:spacing w:before="120" w:after="120"/>
            </w:pPr>
            <w:r w:rsidRPr="001E0050">
              <w:t>Highlights from the Financial Reports</w:t>
            </w:r>
          </w:p>
          <w:p w:rsidR="00C27C64" w:rsidRDefault="00C27C64" w:rsidP="00810247"/>
        </w:tc>
        <w:tc>
          <w:tcPr>
            <w:tcW w:w="12482" w:type="dxa"/>
            <w:gridSpan w:val="2"/>
            <w:tcBorders>
              <w:top w:val="single" w:sz="4" w:space="0" w:color="auto"/>
              <w:left w:val="single" w:sz="4" w:space="0" w:color="auto"/>
              <w:bottom w:val="single" w:sz="4" w:space="0" w:color="auto"/>
            </w:tcBorders>
            <w:vAlign w:val="center"/>
          </w:tcPr>
          <w:p w:rsidR="00C27C64" w:rsidRDefault="00C27C64" w:rsidP="00EC75A2">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t>October31, 2016. John Ray offered his “Fiscal Highlights” (see attached).</w:t>
            </w:r>
          </w:p>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t>Update on the Investment Account</w:t>
            </w:r>
          </w:p>
        </w:tc>
        <w:tc>
          <w:tcPr>
            <w:tcW w:w="12482" w:type="dxa"/>
            <w:gridSpan w:val="2"/>
            <w:tcBorders>
              <w:top w:val="single" w:sz="4" w:space="0" w:color="auto"/>
              <w:left w:val="single" w:sz="4" w:space="0" w:color="auto"/>
              <w:bottom w:val="single" w:sz="4" w:space="0" w:color="auto"/>
            </w:tcBorders>
            <w:vAlign w:val="center"/>
          </w:tcPr>
          <w:p w:rsidR="00F10E81" w:rsidRDefault="00F10E81" w:rsidP="00EC75A2">
            <w:pPr>
              <w:spacing w:before="120" w:after="120"/>
            </w:pPr>
            <w:r>
              <w:t xml:space="preserve">John’s Fiscal Highlights included </w:t>
            </w:r>
            <w:r w:rsidR="00ED4A58">
              <w:t>an</w:t>
            </w:r>
            <w:r>
              <w:t xml:space="preserve"> overview of the investment account, which the Committe</w:t>
            </w:r>
            <w:r w:rsidR="00ED4A58">
              <w:t xml:space="preserve">e discussed in some detail.  John </w:t>
            </w:r>
            <w:r>
              <w:t>noted that all cash will be invested by the end of November, when the second cd matures and is evenly invested in the six funds that comprise the portfolio.</w:t>
            </w:r>
          </w:p>
          <w:p w:rsidR="00F10E81" w:rsidRDefault="00F10E81" w:rsidP="00EC75A2">
            <w:pPr>
              <w:spacing w:before="120" w:after="120"/>
            </w:pPr>
            <w:r>
              <w:t xml:space="preserve">It was decided that in March 2017, when the investment account will be approximately </w:t>
            </w:r>
            <w:r w:rsidR="00ED4A58">
              <w:t>one</w:t>
            </w:r>
            <w:r>
              <w:t xml:space="preserve"> year old, we will ask Tim Bartholomew, the investment account’s manager, to meet with the Committee to discuss the portfolio’s past year performance. It was also decided that in May 2017, the Committee will review Tim’s performance. </w:t>
            </w:r>
          </w:p>
          <w:p w:rsidR="00F10E81" w:rsidRDefault="00F10E81" w:rsidP="00EC75A2">
            <w:pPr>
              <w:spacing w:before="120" w:after="120"/>
            </w:pPr>
            <w:r>
              <w:t xml:space="preserve">The Committee decided that while it does not need to see reports on the fluctuations in each fund’s performance, it would like to see one number that communicates the portfolio’s overall gains or losses.  John Ray will include this in future reports. </w:t>
            </w:r>
          </w:p>
          <w:p w:rsidR="004C488F" w:rsidRPr="001E0050" w:rsidRDefault="00F10E81" w:rsidP="00ED4A58">
            <w:pPr>
              <w:spacing w:before="120" w:after="120"/>
            </w:pPr>
            <w:r>
              <w:t xml:space="preserve">It was noted that the Consortium continues to have “excess cash” in its operating account.  The Committee </w:t>
            </w:r>
            <w:r w:rsidR="00ED4A58">
              <w:t>will</w:t>
            </w:r>
            <w:r>
              <w:t xml:space="preserve"> </w:t>
            </w:r>
            <w:r w:rsidR="00ED4A58">
              <w:t xml:space="preserve">continue to </w:t>
            </w:r>
            <w:r>
              <w:t xml:space="preserve">be </w:t>
            </w:r>
            <w:r w:rsidR="00ED4A58">
              <w:t xml:space="preserve">attentive to this, and reexamine our options in the spring. </w:t>
            </w:r>
          </w:p>
        </w:tc>
      </w:tr>
      <w:tr w:rsidR="0061327C"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61327C" w:rsidRDefault="0061327C" w:rsidP="00810247">
            <w:r>
              <w:t>Medicaid Transportation</w:t>
            </w:r>
          </w:p>
        </w:tc>
        <w:tc>
          <w:tcPr>
            <w:tcW w:w="12482" w:type="dxa"/>
            <w:gridSpan w:val="2"/>
            <w:tcBorders>
              <w:top w:val="single" w:sz="4" w:space="0" w:color="auto"/>
              <w:left w:val="single" w:sz="4" w:space="0" w:color="auto"/>
              <w:bottom w:val="single" w:sz="4" w:space="0" w:color="auto"/>
            </w:tcBorders>
            <w:vAlign w:val="center"/>
          </w:tcPr>
          <w:p w:rsidR="0061327C" w:rsidRDefault="0061327C" w:rsidP="00742E9B">
            <w:pPr>
              <w:spacing w:before="120" w:after="120"/>
            </w:pPr>
            <w:r>
              <w:t>Claire reported that earlier that day, the</w:t>
            </w:r>
            <w:r>
              <w:t xml:space="preserve"> Consortium </w:t>
            </w:r>
            <w:r>
              <w:t>received</w:t>
            </w:r>
            <w:r>
              <w:t xml:space="preserve"> notification from </w:t>
            </w:r>
            <w:r w:rsidR="00742E9B">
              <w:t>MAS</w:t>
            </w:r>
            <w:r>
              <w:t>, the NYSDOH-contracted transportation program manager, that much of the Consortium’</w:t>
            </w:r>
            <w:r w:rsidR="00742E9B">
              <w:t>s Medicaid business—specifically, the rides for residents in group homes to and from PROS at MHA at 713 Union Street--is</w:t>
            </w:r>
            <w:r>
              <w:t xml:space="preserve"> being </w:t>
            </w:r>
            <w:r w:rsidR="00742E9B">
              <w:t>reconfigured as group, versus individual, rides and put out to bid. There is a very real possibility that the Consortium will lose this business, which would, in turn, significantly reduce our Medicaid transportation revenue. Claire, John and the Transportation Program staff will be analyzing current costs in order to determine the bid they will offer in an attempt to retain this business. It is important to note that MAS does not recognize the Medicaid enrollee’s (or provider’s) “freedom of choice” when dispatching group rides</w:t>
            </w:r>
            <w:bookmarkStart w:id="0" w:name="_GoBack"/>
            <w:bookmarkEnd w:id="0"/>
            <w:r w:rsidR="00742E9B">
              <w:t xml:space="preserve">. </w:t>
            </w:r>
          </w:p>
        </w:tc>
      </w:tr>
      <w:tr w:rsidR="0081024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810247" w:rsidP="00810247">
            <w:r>
              <w:t>Next mtng</w:t>
            </w:r>
          </w:p>
        </w:tc>
        <w:tc>
          <w:tcPr>
            <w:tcW w:w="12482" w:type="dxa"/>
            <w:gridSpan w:val="2"/>
            <w:tcBorders>
              <w:top w:val="single" w:sz="4" w:space="0" w:color="auto"/>
              <w:left w:val="single" w:sz="4" w:space="0" w:color="auto"/>
              <w:bottom w:val="single" w:sz="4" w:space="0" w:color="auto"/>
            </w:tcBorders>
            <w:vAlign w:val="center"/>
          </w:tcPr>
          <w:p w:rsidR="00810247" w:rsidRPr="001E0050" w:rsidRDefault="00810247" w:rsidP="00D2044F">
            <w:pPr>
              <w:spacing w:before="120"/>
            </w:pPr>
            <w:r w:rsidRPr="005D783D">
              <w:t xml:space="preserve">The next meeting is scheduled for </w:t>
            </w:r>
            <w:r w:rsidR="00D2044F">
              <w:t>January 17, 2016 at 3:00 p.m.</w:t>
            </w:r>
          </w:p>
        </w:tc>
      </w:tr>
    </w:tbl>
    <w:p w:rsidR="005E7D1E" w:rsidRDefault="005E7D1E">
      <w:pPr>
        <w:sectPr w:rsidR="005E7D1E" w:rsidSect="00990FBF">
          <w:pgSz w:w="15840" w:h="12240" w:orient="landscape"/>
          <w:pgMar w:top="720" w:right="720" w:bottom="720" w:left="720" w:header="720" w:footer="720" w:gutter="0"/>
          <w:cols w:space="720"/>
          <w:docGrid w:linePitch="360"/>
        </w:sectPr>
      </w:pPr>
      <w:r>
        <w:br w:type="page"/>
      </w:r>
    </w:p>
    <w:tbl>
      <w:tblPr>
        <w:tblW w:w="10908" w:type="dxa"/>
        <w:tblInd w:w="-108" w:type="dxa"/>
        <w:tblLook w:val="04A0" w:firstRow="1" w:lastRow="0" w:firstColumn="1" w:lastColumn="0" w:noHBand="0" w:noVBand="1"/>
      </w:tblPr>
      <w:tblGrid>
        <w:gridCol w:w="108"/>
        <w:gridCol w:w="114"/>
        <w:gridCol w:w="108"/>
        <w:gridCol w:w="2564"/>
        <w:gridCol w:w="108"/>
        <w:gridCol w:w="1255"/>
        <w:gridCol w:w="108"/>
        <w:gridCol w:w="1204"/>
        <w:gridCol w:w="102"/>
        <w:gridCol w:w="1116"/>
        <w:gridCol w:w="108"/>
        <w:gridCol w:w="1336"/>
        <w:gridCol w:w="108"/>
        <w:gridCol w:w="1354"/>
        <w:gridCol w:w="108"/>
        <w:gridCol w:w="999"/>
        <w:gridCol w:w="108"/>
      </w:tblGrid>
      <w:tr w:rsidR="00006A76" w:rsidRPr="00006A76" w:rsidTr="00006A76">
        <w:trPr>
          <w:gridBefore w:val="1"/>
          <w:wBefore w:w="108" w:type="dxa"/>
          <w:trHeight w:val="465"/>
        </w:trPr>
        <w:tc>
          <w:tcPr>
            <w:tcW w:w="10800" w:type="dxa"/>
            <w:gridSpan w:val="16"/>
            <w:tcBorders>
              <w:top w:val="nil"/>
              <w:left w:val="nil"/>
              <w:bottom w:val="nil"/>
              <w:right w:val="nil"/>
            </w:tcBorders>
            <w:shd w:val="clear" w:color="auto" w:fill="auto"/>
            <w:noWrap/>
            <w:vAlign w:val="center"/>
            <w:hideMark/>
          </w:tcPr>
          <w:p w:rsidR="00006A76" w:rsidRPr="00006A76" w:rsidRDefault="00006A76" w:rsidP="00006A76">
            <w:pPr>
              <w:jc w:val="center"/>
              <w:rPr>
                <w:rFonts w:ascii="Calibri" w:hAnsi="Calibri" w:cs="Arial"/>
                <w:b/>
                <w:bCs/>
                <w:color w:val="000000"/>
                <w:sz w:val="36"/>
                <w:szCs w:val="36"/>
              </w:rPr>
            </w:pPr>
            <w:r w:rsidRPr="00006A76">
              <w:rPr>
                <w:rFonts w:ascii="Calibri" w:hAnsi="Calibri" w:cs="Arial"/>
                <w:b/>
                <w:bCs/>
                <w:color w:val="000000"/>
                <w:sz w:val="36"/>
                <w:szCs w:val="36"/>
              </w:rPr>
              <w:lastRenderedPageBreak/>
              <w:t>Finance &amp; Budget Committee Meeting</w:t>
            </w:r>
          </w:p>
        </w:tc>
      </w:tr>
      <w:tr w:rsidR="00006A76" w:rsidRPr="00006A76" w:rsidTr="00006A76">
        <w:trPr>
          <w:gridBefore w:val="1"/>
          <w:wBefore w:w="108" w:type="dxa"/>
          <w:trHeight w:val="465"/>
        </w:trPr>
        <w:tc>
          <w:tcPr>
            <w:tcW w:w="10800" w:type="dxa"/>
            <w:gridSpan w:val="16"/>
            <w:tcBorders>
              <w:top w:val="nil"/>
              <w:left w:val="nil"/>
              <w:bottom w:val="nil"/>
              <w:right w:val="nil"/>
            </w:tcBorders>
            <w:shd w:val="clear" w:color="auto" w:fill="auto"/>
            <w:noWrap/>
            <w:vAlign w:val="center"/>
            <w:hideMark/>
          </w:tcPr>
          <w:p w:rsidR="00006A76" w:rsidRPr="00006A76" w:rsidRDefault="00006A76" w:rsidP="00006A76">
            <w:pPr>
              <w:jc w:val="center"/>
              <w:rPr>
                <w:rFonts w:ascii="Calibri" w:hAnsi="Calibri" w:cs="Arial"/>
                <w:b/>
                <w:bCs/>
                <w:color w:val="000000"/>
                <w:sz w:val="36"/>
                <w:szCs w:val="36"/>
              </w:rPr>
            </w:pPr>
            <w:r w:rsidRPr="00006A76">
              <w:rPr>
                <w:rFonts w:ascii="Calibri" w:hAnsi="Calibri" w:cs="Arial"/>
                <w:b/>
                <w:bCs/>
                <w:color w:val="000000"/>
                <w:sz w:val="36"/>
                <w:szCs w:val="36"/>
              </w:rPr>
              <w:t xml:space="preserve">   Fiscal Highlights</w:t>
            </w:r>
          </w:p>
        </w:tc>
      </w:tr>
      <w:tr w:rsidR="00006A76" w:rsidRPr="00006A76" w:rsidTr="00006A76">
        <w:trPr>
          <w:gridBefore w:val="1"/>
          <w:wBefore w:w="108" w:type="dxa"/>
          <w:trHeight w:val="465"/>
        </w:trPr>
        <w:tc>
          <w:tcPr>
            <w:tcW w:w="10800" w:type="dxa"/>
            <w:gridSpan w:val="16"/>
            <w:tcBorders>
              <w:top w:val="nil"/>
              <w:left w:val="nil"/>
              <w:bottom w:val="nil"/>
              <w:right w:val="nil"/>
            </w:tcBorders>
            <w:shd w:val="clear" w:color="auto" w:fill="auto"/>
            <w:noWrap/>
            <w:vAlign w:val="center"/>
            <w:hideMark/>
          </w:tcPr>
          <w:p w:rsidR="00006A76" w:rsidRPr="00006A76" w:rsidRDefault="00006A76" w:rsidP="00006A76">
            <w:pPr>
              <w:jc w:val="center"/>
              <w:rPr>
                <w:rFonts w:ascii="Calibri" w:hAnsi="Calibri" w:cs="Arial"/>
                <w:b/>
                <w:bCs/>
                <w:color w:val="000000"/>
                <w:sz w:val="36"/>
                <w:szCs w:val="36"/>
              </w:rPr>
            </w:pPr>
            <w:r w:rsidRPr="00006A76">
              <w:rPr>
                <w:rFonts w:ascii="Calibri" w:hAnsi="Calibri" w:cs="Arial"/>
                <w:b/>
                <w:bCs/>
                <w:color w:val="000000"/>
                <w:sz w:val="36"/>
                <w:szCs w:val="36"/>
              </w:rPr>
              <w:t>Tuesday, November 15, 2016</w:t>
            </w:r>
          </w:p>
        </w:tc>
      </w:tr>
      <w:tr w:rsidR="00006A76" w:rsidRPr="00006A76" w:rsidTr="00006A76">
        <w:trPr>
          <w:gridBefore w:val="1"/>
          <w:wBefore w:w="108" w:type="dxa"/>
          <w:trHeight w:val="555"/>
        </w:trPr>
        <w:tc>
          <w:tcPr>
            <w:tcW w:w="10800" w:type="dxa"/>
            <w:gridSpan w:val="16"/>
            <w:tcBorders>
              <w:top w:val="nil"/>
              <w:left w:val="nil"/>
              <w:bottom w:val="nil"/>
              <w:right w:val="nil"/>
            </w:tcBorders>
            <w:shd w:val="clear" w:color="auto" w:fill="auto"/>
            <w:vAlign w:val="bottom"/>
            <w:hideMark/>
          </w:tcPr>
          <w:p w:rsidR="00006A76" w:rsidRPr="00006A76" w:rsidRDefault="00006A76" w:rsidP="00006A76">
            <w:pPr>
              <w:jc w:val="center"/>
              <w:rPr>
                <w:rFonts w:ascii="Wide Latin" w:hAnsi="Wide Latin" w:cs="Arial"/>
                <w:color w:val="000000"/>
              </w:rPr>
            </w:pPr>
            <w:r w:rsidRPr="00006A76">
              <w:rPr>
                <w:rFonts w:ascii="Wide Latin" w:hAnsi="Wide Latin" w:cs="Arial"/>
                <w:color w:val="000000"/>
              </w:rPr>
              <w:t>Revenue, Support &amp; Expenses</w:t>
            </w:r>
          </w:p>
        </w:tc>
      </w:tr>
      <w:tr w:rsidR="00006A76" w:rsidRPr="00006A76" w:rsidTr="00006A76">
        <w:trPr>
          <w:gridBefore w:val="1"/>
          <w:wBefore w:w="108" w:type="dxa"/>
          <w:trHeight w:val="765"/>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rFonts w:ascii="Calibri" w:hAnsi="Calibri" w:cs="Arial"/>
                <w:color w:val="000000"/>
              </w:rPr>
              <w:t xml:space="preserve"> </w:t>
            </w:r>
            <w:r w:rsidRPr="00006A76">
              <w:rPr>
                <w:rFonts w:ascii="Calibri" w:hAnsi="Calibri" w:cs="Arial"/>
                <w:b/>
                <w:bCs/>
                <w:color w:val="000000"/>
              </w:rPr>
              <w:t xml:space="preserve">Office of the Aging: MIPPA </w:t>
            </w:r>
            <w:r w:rsidRPr="00006A76">
              <w:rPr>
                <w:rFonts w:ascii="Calibri" w:hAnsi="Calibri" w:cs="Arial"/>
                <w:color w:val="000000"/>
              </w:rPr>
              <w:t>(01/2017 to 09/2017) OFA received approval from NYSOFA of which we have a subcontract in the amount of $2,710 to provide wage support.</w:t>
            </w:r>
          </w:p>
        </w:tc>
      </w:tr>
      <w:tr w:rsidR="00006A76" w:rsidRPr="00006A76" w:rsidTr="00006A76">
        <w:trPr>
          <w:gridBefore w:val="1"/>
          <w:wBefore w:w="108" w:type="dxa"/>
          <w:trHeight w:val="855"/>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color w:val="000000"/>
              </w:rPr>
              <w:t xml:space="preserve"> </w:t>
            </w:r>
            <w:r w:rsidRPr="00006A76">
              <w:rPr>
                <w:b/>
                <w:bCs/>
                <w:color w:val="000000"/>
              </w:rPr>
              <w:t xml:space="preserve">Office of Aging: Senior Transportation (01/2017 to 12/2017) - </w:t>
            </w:r>
            <w:r w:rsidRPr="00006A76">
              <w:rPr>
                <w:rFonts w:ascii="Calibri" w:hAnsi="Calibri" w:cs="Arial"/>
                <w:color w:val="000000"/>
              </w:rPr>
              <w:t>Received signed contract to provide transportation to Columbia County residence over the age of 60 in the amount of $41,500. Last year's contract amount was $40,000.</w:t>
            </w:r>
          </w:p>
        </w:tc>
      </w:tr>
      <w:tr w:rsidR="00006A76" w:rsidRPr="00006A76" w:rsidTr="00006A76">
        <w:trPr>
          <w:gridBefore w:val="1"/>
          <w:wBefore w:w="108" w:type="dxa"/>
          <w:trHeight w:val="795"/>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rFonts w:ascii="Calibri" w:hAnsi="Calibri" w:cs="Arial"/>
                <w:color w:val="000000"/>
              </w:rPr>
              <w:t xml:space="preserve"> </w:t>
            </w:r>
            <w:r w:rsidRPr="00006A76">
              <w:rPr>
                <w:rFonts w:ascii="Calibri" w:hAnsi="Calibri" w:cs="Arial"/>
                <w:b/>
                <w:bCs/>
                <w:color w:val="000000"/>
              </w:rPr>
              <w:t>Navigator Program</w:t>
            </w:r>
            <w:r w:rsidRPr="00006A76">
              <w:rPr>
                <w:rFonts w:ascii="Calibri" w:hAnsi="Calibri" w:cs="Arial"/>
                <w:color w:val="000000"/>
              </w:rPr>
              <w:t xml:space="preserve"> (10/2016 to 09/2017) Received contract approval for the new contract 16/17 year starting October 01, 2016. Budget remains the same at $315,000. This is year #4 of a five year contract.</w:t>
            </w:r>
          </w:p>
        </w:tc>
      </w:tr>
      <w:tr w:rsidR="00006A76" w:rsidRPr="00006A76" w:rsidTr="00006A76">
        <w:trPr>
          <w:gridBefore w:val="1"/>
          <w:wBefore w:w="108" w:type="dxa"/>
          <w:trHeight w:val="1095"/>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b/>
                <w:bCs/>
                <w:color w:val="000000"/>
              </w:rPr>
              <w:t xml:space="preserve">Foundation for Community Health: CARTS Program </w:t>
            </w:r>
            <w:r w:rsidRPr="00006A76">
              <w:rPr>
                <w:color w:val="000000"/>
              </w:rPr>
              <w:t>(01/2017 to 12/2017) Previously, FCH indicated that they were not planning to renew the $25,000 transportation grant for residence of Ancram/Copake. Recently, FCH has additional funds and has requested we submit proposal for same $25,000 amount.</w:t>
            </w:r>
          </w:p>
        </w:tc>
      </w:tr>
      <w:tr w:rsidR="00006A76" w:rsidRPr="00006A76" w:rsidTr="00006A76">
        <w:trPr>
          <w:gridBefore w:val="1"/>
          <w:wBefore w:w="108" w:type="dxa"/>
          <w:trHeight w:val="600"/>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color w:val="000000"/>
              </w:rPr>
              <w:t xml:space="preserve"> </w:t>
            </w:r>
            <w:r w:rsidRPr="00006A76">
              <w:rPr>
                <w:b/>
                <w:bCs/>
                <w:color w:val="000000"/>
              </w:rPr>
              <w:t xml:space="preserve">Columbia County Cancer Fund - </w:t>
            </w:r>
            <w:r w:rsidRPr="00006A76">
              <w:rPr>
                <w:color w:val="000000"/>
              </w:rPr>
              <w:t xml:space="preserve">Current fund raising campaign raised almost $6,000. </w:t>
            </w:r>
          </w:p>
        </w:tc>
      </w:tr>
      <w:tr w:rsidR="00006A76" w:rsidRPr="00006A76" w:rsidTr="00006A76">
        <w:trPr>
          <w:gridBefore w:val="1"/>
          <w:wBefore w:w="108" w:type="dxa"/>
          <w:trHeight w:val="840"/>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color w:val="000000"/>
              </w:rPr>
              <w:t xml:space="preserve"> </w:t>
            </w:r>
            <w:r w:rsidRPr="00006A76">
              <w:rPr>
                <w:b/>
                <w:bCs/>
                <w:color w:val="000000"/>
              </w:rPr>
              <w:t xml:space="preserve">Dyson Foundation - </w:t>
            </w:r>
            <w:r w:rsidRPr="00006A76">
              <w:rPr>
                <w:color w:val="000000"/>
              </w:rPr>
              <w:t xml:space="preserve">Submitted grant proposal to Dyson Foundation requesting a two year (2017-2018) grant in the amount of $44,000 for prescription Rx access and wage support. The last two year grant (2015-2016) was in the amount of $50,000. </w:t>
            </w:r>
          </w:p>
        </w:tc>
      </w:tr>
      <w:tr w:rsidR="00006A76" w:rsidRPr="00006A76" w:rsidTr="00006A76">
        <w:trPr>
          <w:gridBefore w:val="1"/>
          <w:wBefore w:w="108" w:type="dxa"/>
          <w:trHeight w:val="840"/>
        </w:trPr>
        <w:tc>
          <w:tcPr>
            <w:tcW w:w="10800" w:type="dxa"/>
            <w:gridSpan w:val="16"/>
            <w:tcBorders>
              <w:top w:val="nil"/>
              <w:left w:val="nil"/>
              <w:bottom w:val="nil"/>
              <w:right w:val="nil"/>
            </w:tcBorders>
            <w:shd w:val="clear" w:color="auto" w:fill="auto"/>
            <w:hideMark/>
          </w:tcPr>
          <w:p w:rsidR="00006A76" w:rsidRPr="00006A76" w:rsidRDefault="00006A76" w:rsidP="00006A76">
            <w:pPr>
              <w:spacing w:before="120" w:after="120"/>
              <w:rPr>
                <w:rFonts w:ascii="Wingdings" w:hAnsi="Wingdings" w:cs="Arial"/>
                <w:color w:val="000000"/>
              </w:rPr>
            </w:pPr>
            <w:r w:rsidRPr="00006A76">
              <w:rPr>
                <w:rFonts w:ascii="Wingdings" w:hAnsi="Wingdings" w:cs="Arial"/>
                <w:color w:val="000000"/>
              </w:rPr>
              <w:t></w:t>
            </w:r>
            <w:r w:rsidRPr="00006A76">
              <w:rPr>
                <w:color w:val="000000"/>
              </w:rPr>
              <w:t xml:space="preserve"> </w:t>
            </w:r>
            <w:r w:rsidRPr="00006A76">
              <w:rPr>
                <w:b/>
                <w:bCs/>
                <w:color w:val="000000"/>
              </w:rPr>
              <w:t xml:space="preserve">Medicaid Transportation - </w:t>
            </w:r>
            <w:r w:rsidRPr="00006A76">
              <w:rPr>
                <w:color w:val="000000"/>
              </w:rPr>
              <w:t xml:space="preserve">MAS has put out to bid our four group rides in Ancramdale, Copake, Philmont &amp; Hudson and are requesting a bid to be a fixed price per individual per trip. </w:t>
            </w:r>
          </w:p>
        </w:tc>
      </w:tr>
      <w:tr w:rsidR="00006A76" w:rsidRPr="00006A76" w:rsidTr="00006A76">
        <w:trPr>
          <w:gridBefore w:val="1"/>
          <w:wBefore w:w="108" w:type="dxa"/>
          <w:trHeight w:val="510"/>
        </w:trPr>
        <w:tc>
          <w:tcPr>
            <w:tcW w:w="10800" w:type="dxa"/>
            <w:gridSpan w:val="16"/>
            <w:tcBorders>
              <w:top w:val="nil"/>
              <w:left w:val="nil"/>
              <w:bottom w:val="nil"/>
              <w:right w:val="nil"/>
            </w:tcBorders>
            <w:shd w:val="clear" w:color="auto" w:fill="auto"/>
            <w:vAlign w:val="bottom"/>
            <w:hideMark/>
          </w:tcPr>
          <w:p w:rsidR="00006A76" w:rsidRPr="00006A76" w:rsidRDefault="00006A76" w:rsidP="00006A76">
            <w:pPr>
              <w:jc w:val="center"/>
              <w:rPr>
                <w:rFonts w:ascii="Wide Latin" w:hAnsi="Wide Latin" w:cs="Arial"/>
                <w:color w:val="000000"/>
              </w:rPr>
            </w:pPr>
            <w:r w:rsidRPr="00006A76">
              <w:rPr>
                <w:rFonts w:ascii="Wide Latin" w:hAnsi="Wide Latin" w:cs="Arial"/>
                <w:color w:val="000000"/>
              </w:rPr>
              <w:t>Grant Receivable</w:t>
            </w:r>
          </w:p>
        </w:tc>
      </w:tr>
      <w:tr w:rsidR="00006A76" w:rsidRPr="00006A76" w:rsidTr="00006A76">
        <w:trPr>
          <w:gridBefore w:val="1"/>
          <w:wBefore w:w="108" w:type="dxa"/>
          <w:trHeight w:val="840"/>
        </w:trPr>
        <w:tc>
          <w:tcPr>
            <w:tcW w:w="10800" w:type="dxa"/>
            <w:gridSpan w:val="16"/>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r w:rsidRPr="00006A76">
              <w:rPr>
                <w:rFonts w:ascii="Wingdings" w:hAnsi="Wingdings" w:cs="Arial"/>
                <w:color w:val="000000"/>
              </w:rPr>
              <w:t></w:t>
            </w:r>
            <w:r w:rsidRPr="00006A76">
              <w:rPr>
                <w:color w:val="000000"/>
              </w:rPr>
              <w:t xml:space="preserve"> </w:t>
            </w:r>
            <w:r w:rsidRPr="00006A76">
              <w:rPr>
                <w:rFonts w:ascii="Calibri" w:hAnsi="Calibri" w:cs="Arial"/>
                <w:b/>
                <w:bCs/>
                <w:color w:val="000000"/>
              </w:rPr>
              <w:t xml:space="preserve">Grant Receivable - </w:t>
            </w:r>
            <w:r w:rsidRPr="00006A76">
              <w:rPr>
                <w:rFonts w:ascii="Calibri" w:hAnsi="Calibri" w:cs="Arial"/>
                <w:color w:val="000000"/>
              </w:rPr>
              <w:t xml:space="preserve">  As of October 31, 2016 our Grant Receivable is $245,497. Expectation is that we will collect on all receivables except the $3,256 that we booked 12/31/15 for 2% Medicaid recoupment. Summary as follows:</w:t>
            </w:r>
          </w:p>
        </w:tc>
      </w:tr>
      <w:tr w:rsidR="00006A76" w:rsidRPr="00006A76" w:rsidTr="00006A76">
        <w:trPr>
          <w:gridBefore w:val="1"/>
          <w:wBefore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rPr>
                <w:rFonts w:ascii="Wingdings" w:hAnsi="Wingdings" w:cs="Arial"/>
                <w:color w:val="000000"/>
              </w:rPr>
            </w:pPr>
          </w:p>
        </w:tc>
        <w:tc>
          <w:tcPr>
            <w:tcW w:w="4035" w:type="dxa"/>
            <w:gridSpan w:val="4"/>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1204" w:type="dxa"/>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326" w:type="dxa"/>
            <w:gridSpan w:val="3"/>
            <w:tcBorders>
              <w:top w:val="nil"/>
              <w:left w:val="nil"/>
              <w:bottom w:val="nil"/>
              <w:right w:val="nil"/>
            </w:tcBorders>
            <w:shd w:val="clear" w:color="auto" w:fill="auto"/>
            <w:vAlign w:val="bottom"/>
            <w:hideMark/>
          </w:tcPr>
          <w:p w:rsidR="00006A76" w:rsidRPr="00006A76" w:rsidRDefault="00006A76" w:rsidP="00006A76">
            <w:pPr>
              <w:jc w:val="center"/>
              <w:rPr>
                <w:color w:val="000000"/>
              </w:rPr>
            </w:pPr>
            <w:r w:rsidRPr="00006A76">
              <w:rPr>
                <w:color w:val="000000"/>
              </w:rPr>
              <w:t>Amount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center"/>
              <w:rPr>
                <w:color w:val="000000"/>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right"/>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right"/>
              <w:rPr>
                <w:sz w:val="20"/>
                <w:szCs w:val="20"/>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rPr>
                <w:color w:val="000000"/>
              </w:rPr>
            </w:pPr>
            <w:r w:rsidRPr="00006A76">
              <w:rPr>
                <w:color w:val="000000"/>
              </w:rPr>
              <w:t>Rural Health Network Program</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70,035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603"/>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jc w:val="center"/>
              <w:rPr>
                <w:color w:val="000000"/>
              </w:rPr>
            </w:pPr>
            <w:r w:rsidRPr="00006A76">
              <w:rPr>
                <w:color w:val="000000"/>
              </w:rPr>
              <w:t>Navigator Health Exchange Program</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44,007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rPr>
                <w:color w:val="000000"/>
              </w:rPr>
            </w:pPr>
            <w:r w:rsidRPr="00006A76">
              <w:rPr>
                <w:color w:val="000000"/>
              </w:rPr>
              <w:t>Tobacco-Free Program</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52,540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rPr>
                <w:color w:val="000000"/>
              </w:rPr>
            </w:pPr>
            <w:r w:rsidRPr="00006A76">
              <w:rPr>
                <w:color w:val="000000"/>
              </w:rPr>
              <w:t>Cancer Services Program</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25,157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rPr>
                <w:color w:val="000000"/>
              </w:rPr>
            </w:pPr>
            <w:r w:rsidRPr="00006A76">
              <w:rPr>
                <w:color w:val="000000"/>
              </w:rPr>
              <w:t>Transportation-Medicaid</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26,406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rPr>
                <w:color w:val="000000"/>
              </w:rPr>
            </w:pPr>
            <w:r w:rsidRPr="00006A76">
              <w:rPr>
                <w:color w:val="000000"/>
              </w:rPr>
              <w:t>Other Columbia County Programs</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24,003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jc w:val="center"/>
              <w:rPr>
                <w:sz w:val="20"/>
                <w:szCs w:val="20"/>
              </w:rPr>
            </w:pPr>
          </w:p>
        </w:tc>
        <w:tc>
          <w:tcPr>
            <w:tcW w:w="2777" w:type="dxa"/>
            <w:gridSpan w:val="5"/>
            <w:tcBorders>
              <w:top w:val="nil"/>
              <w:left w:val="nil"/>
              <w:bottom w:val="nil"/>
              <w:right w:val="nil"/>
            </w:tcBorders>
            <w:shd w:val="clear" w:color="auto" w:fill="auto"/>
            <w:hideMark/>
          </w:tcPr>
          <w:p w:rsidR="00006A76" w:rsidRPr="00006A76" w:rsidRDefault="00006A76" w:rsidP="00006A76">
            <w:pPr>
              <w:rPr>
                <w:color w:val="000000"/>
              </w:rPr>
            </w:pPr>
            <w:r w:rsidRPr="00006A76">
              <w:rPr>
                <w:color w:val="000000"/>
              </w:rPr>
              <w:t>Greene County DSS</w:t>
            </w:r>
          </w:p>
        </w:tc>
        <w:tc>
          <w:tcPr>
            <w:tcW w:w="1116"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3,349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rFonts w:ascii="Arial" w:hAnsi="Arial" w:cs="Arial"/>
                <w:color w:val="000000"/>
                <w:sz w:val="22"/>
                <w:szCs w:val="22"/>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After w:val="1"/>
          <w:wAfter w:w="108" w:type="dxa"/>
          <w:trHeight w:val="330"/>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4035" w:type="dxa"/>
            <w:gridSpan w:val="4"/>
            <w:tcBorders>
              <w:top w:val="nil"/>
              <w:left w:val="nil"/>
              <w:bottom w:val="nil"/>
              <w:right w:val="nil"/>
            </w:tcBorders>
            <w:shd w:val="clear" w:color="auto" w:fill="auto"/>
            <w:hideMark/>
          </w:tcPr>
          <w:p w:rsidR="00006A76" w:rsidRPr="00006A76" w:rsidRDefault="00006A76" w:rsidP="00006A76">
            <w:pPr>
              <w:jc w:val="center"/>
              <w:rPr>
                <w:color w:val="000000"/>
              </w:rPr>
            </w:pPr>
            <w:r w:rsidRPr="00006A76">
              <w:rPr>
                <w:color w:val="000000"/>
              </w:rPr>
              <w:t>Total Grant Receivable</w:t>
            </w:r>
          </w:p>
        </w:tc>
        <w:tc>
          <w:tcPr>
            <w:tcW w:w="1414" w:type="dxa"/>
            <w:gridSpan w:val="3"/>
            <w:tcBorders>
              <w:top w:val="nil"/>
              <w:left w:val="nil"/>
              <w:bottom w:val="nil"/>
              <w:right w:val="nil"/>
            </w:tcBorders>
            <w:shd w:val="clear" w:color="auto" w:fill="auto"/>
            <w:vAlign w:val="bottom"/>
            <w:hideMark/>
          </w:tcPr>
          <w:p w:rsidR="00006A76" w:rsidRPr="00006A76" w:rsidRDefault="00006A76" w:rsidP="00006A76">
            <w:pPr>
              <w:jc w:val="center"/>
              <w:rPr>
                <w:color w:val="000000"/>
              </w:rPr>
            </w:pPr>
          </w:p>
        </w:tc>
        <w:tc>
          <w:tcPr>
            <w:tcW w:w="1116" w:type="dxa"/>
            <w:tcBorders>
              <w:top w:val="single" w:sz="4" w:space="0" w:color="auto"/>
              <w:left w:val="nil"/>
              <w:bottom w:val="double" w:sz="6" w:space="0" w:color="auto"/>
              <w:right w:val="nil"/>
            </w:tcBorders>
            <w:shd w:val="clear" w:color="auto" w:fill="auto"/>
            <w:vAlign w:val="bottom"/>
            <w:hideMark/>
          </w:tcPr>
          <w:p w:rsidR="00006A76" w:rsidRPr="00006A76" w:rsidRDefault="00006A76" w:rsidP="00006A76">
            <w:pPr>
              <w:jc w:val="right"/>
              <w:rPr>
                <w:color w:val="000000"/>
              </w:rPr>
            </w:pPr>
            <w:r w:rsidRPr="00006A76">
              <w:rPr>
                <w:color w:val="000000"/>
              </w:rPr>
              <w:t xml:space="preserve">$245,497 </w:t>
            </w: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color w:val="000000"/>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Before w:val="1"/>
          <w:wBefore w:w="108" w:type="dxa"/>
          <w:trHeight w:val="247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noProof/>
                <w:color w:val="000000"/>
                <w:sz w:val="22"/>
                <w:szCs w:val="22"/>
              </w:rPr>
              <w:drawing>
                <wp:anchor distT="0" distB="0" distL="114300" distR="114300" simplePos="0" relativeHeight="251660288" behindDoc="0" locked="0" layoutInCell="1" allowOverlap="1" wp14:anchorId="0ED1FE63" wp14:editId="2918CD7F">
                  <wp:simplePos x="0" y="0"/>
                  <wp:positionH relativeFrom="column">
                    <wp:posOffset>-259080</wp:posOffset>
                  </wp:positionH>
                  <wp:positionV relativeFrom="paragraph">
                    <wp:posOffset>77470</wp:posOffset>
                  </wp:positionV>
                  <wp:extent cx="6705600" cy="3381375"/>
                  <wp:effectExtent l="0" t="0" r="0" b="9525"/>
                  <wp:wrapNone/>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80"/>
            </w:tblGrid>
            <w:tr w:rsidR="00006A76" w:rsidRPr="00006A76">
              <w:trPr>
                <w:trHeight w:val="2475"/>
                <w:tblCellSpacing w:w="0" w:type="dxa"/>
              </w:trPr>
              <w:tc>
                <w:tcPr>
                  <w:tcW w:w="1780" w:type="dxa"/>
                  <w:tcBorders>
                    <w:top w:val="nil"/>
                    <w:left w:val="nil"/>
                    <w:bottom w:val="nil"/>
                    <w:right w:val="nil"/>
                  </w:tcBorders>
                  <w:shd w:val="clear" w:color="auto" w:fill="auto"/>
                  <w:hideMark/>
                </w:tcPr>
                <w:p w:rsidR="00006A76" w:rsidRPr="00006A76" w:rsidRDefault="00006A76" w:rsidP="00006A76">
                  <w:pPr>
                    <w:rPr>
                      <w:rFonts w:ascii="Arial" w:hAnsi="Arial" w:cs="Arial"/>
                      <w:color w:val="000000"/>
                      <w:sz w:val="22"/>
                      <w:szCs w:val="22"/>
                    </w:rPr>
                  </w:pPr>
                </w:p>
              </w:tc>
            </w:tr>
          </w:tbl>
          <w:p w:rsidR="00006A76" w:rsidRPr="00006A76" w:rsidRDefault="00006A76" w:rsidP="00006A76">
            <w:pPr>
              <w:rPr>
                <w:rFonts w:ascii="Arial" w:hAnsi="Arial" w:cs="Arial"/>
                <w:color w:val="000000"/>
                <w:sz w:val="22"/>
                <w:szCs w:val="22"/>
              </w:rPr>
            </w:pPr>
          </w:p>
        </w:tc>
        <w:tc>
          <w:tcPr>
            <w:tcW w:w="1363"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204" w:type="dxa"/>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326" w:type="dxa"/>
            <w:gridSpan w:val="3"/>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sz w:val="20"/>
                <w:szCs w:val="20"/>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Before w:val="1"/>
          <w:wBefore w:w="108" w:type="dxa"/>
          <w:trHeight w:val="148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1363" w:type="dxa"/>
            <w:gridSpan w:val="2"/>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1204" w:type="dxa"/>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326" w:type="dxa"/>
            <w:gridSpan w:val="3"/>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sz w:val="20"/>
                <w:szCs w:val="20"/>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Before w:val="1"/>
          <w:wBefore w:w="108" w:type="dxa"/>
          <w:trHeight w:val="1485"/>
        </w:trPr>
        <w:tc>
          <w:tcPr>
            <w:tcW w:w="22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2672" w:type="dxa"/>
            <w:gridSpan w:val="2"/>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1363" w:type="dxa"/>
            <w:gridSpan w:val="2"/>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1204" w:type="dxa"/>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326" w:type="dxa"/>
            <w:gridSpan w:val="3"/>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444" w:type="dxa"/>
            <w:gridSpan w:val="2"/>
            <w:tcBorders>
              <w:top w:val="nil"/>
              <w:left w:val="nil"/>
              <w:bottom w:val="nil"/>
              <w:right w:val="nil"/>
            </w:tcBorders>
            <w:shd w:val="clear" w:color="auto" w:fill="auto"/>
            <w:vAlign w:val="bottom"/>
            <w:hideMark/>
          </w:tcPr>
          <w:p w:rsidR="00006A76" w:rsidRPr="00006A76" w:rsidRDefault="00006A76" w:rsidP="00006A76">
            <w:pPr>
              <w:jc w:val="right"/>
              <w:rPr>
                <w:sz w:val="20"/>
                <w:szCs w:val="20"/>
              </w:rPr>
            </w:pPr>
          </w:p>
        </w:tc>
        <w:tc>
          <w:tcPr>
            <w:tcW w:w="1462"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c>
          <w:tcPr>
            <w:tcW w:w="1107" w:type="dxa"/>
            <w:gridSpan w:val="2"/>
            <w:tcBorders>
              <w:top w:val="nil"/>
              <w:left w:val="nil"/>
              <w:bottom w:val="nil"/>
              <w:right w:val="nil"/>
            </w:tcBorders>
            <w:shd w:val="clear" w:color="auto" w:fill="auto"/>
            <w:vAlign w:val="bottom"/>
            <w:hideMark/>
          </w:tcPr>
          <w:p w:rsidR="00006A76" w:rsidRPr="00006A76" w:rsidRDefault="00006A76" w:rsidP="00006A76">
            <w:pPr>
              <w:jc w:val="center"/>
              <w:rPr>
                <w:sz w:val="20"/>
                <w:szCs w:val="20"/>
              </w:rPr>
            </w:pPr>
          </w:p>
        </w:tc>
      </w:tr>
      <w:tr w:rsidR="00006A76" w:rsidRPr="00006A76" w:rsidTr="00006A76">
        <w:trPr>
          <w:gridBefore w:val="1"/>
          <w:wBefore w:w="108" w:type="dxa"/>
          <w:trHeight w:val="435"/>
        </w:trPr>
        <w:tc>
          <w:tcPr>
            <w:tcW w:w="10800" w:type="dxa"/>
            <w:gridSpan w:val="16"/>
            <w:tcBorders>
              <w:top w:val="nil"/>
              <w:left w:val="nil"/>
              <w:bottom w:val="nil"/>
              <w:right w:val="nil"/>
            </w:tcBorders>
            <w:shd w:val="clear" w:color="auto" w:fill="auto"/>
            <w:vAlign w:val="bottom"/>
            <w:hideMark/>
          </w:tcPr>
          <w:p w:rsidR="00006A76" w:rsidRPr="00006A76" w:rsidRDefault="00006A76" w:rsidP="00006A76">
            <w:pPr>
              <w:jc w:val="center"/>
              <w:rPr>
                <w:rFonts w:ascii="Wide Latin" w:hAnsi="Wide Latin" w:cs="Arial"/>
                <w:color w:val="000000"/>
              </w:rPr>
            </w:pPr>
            <w:bookmarkStart w:id="1" w:name="RANGE!A26:H93"/>
            <w:r w:rsidRPr="00006A76">
              <w:rPr>
                <w:rFonts w:ascii="Wide Latin" w:hAnsi="Wide Latin" w:cs="Arial"/>
                <w:color w:val="000000"/>
              </w:rPr>
              <w:t>Statement of Financial Position</w:t>
            </w:r>
            <w:bookmarkEnd w:id="1"/>
          </w:p>
        </w:tc>
      </w:tr>
      <w:tr w:rsidR="00006A76" w:rsidRPr="00006A76" w:rsidTr="00006A76">
        <w:trPr>
          <w:gridBefore w:val="1"/>
          <w:wBefore w:w="108" w:type="dxa"/>
          <w:trHeight w:val="1020"/>
        </w:trPr>
        <w:tc>
          <w:tcPr>
            <w:tcW w:w="10800" w:type="dxa"/>
            <w:gridSpan w:val="16"/>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r w:rsidRPr="00006A76">
              <w:rPr>
                <w:rFonts w:ascii="Wingdings" w:hAnsi="Wingdings" w:cs="Arial"/>
                <w:color w:val="000000"/>
              </w:rPr>
              <w:t></w:t>
            </w:r>
            <w:r w:rsidRPr="00006A76">
              <w:rPr>
                <w:b/>
                <w:bCs/>
                <w:color w:val="000000"/>
              </w:rPr>
              <w:t xml:space="preserve"> Cash</w:t>
            </w:r>
            <w:r w:rsidRPr="00006A76">
              <w:rPr>
                <w:rFonts w:ascii="Calibri" w:hAnsi="Calibri" w:cs="Arial"/>
                <w:color w:val="000000"/>
              </w:rPr>
              <w:t xml:space="preserve"> -  Cash balance in the operating checking account started the year off with $316K and today's balance is $347.7K. Low balance on July 11th was $199K &amp; the high balance on September 2nd was $479K. Average daily balance is $338.7K</w:t>
            </w:r>
          </w:p>
        </w:tc>
      </w:tr>
      <w:tr w:rsidR="00006A76" w:rsidRPr="00006A76" w:rsidTr="00006A76">
        <w:trPr>
          <w:gridBefore w:val="1"/>
          <w:wBefore w:w="108" w:type="dxa"/>
          <w:trHeight w:val="1620"/>
        </w:trPr>
        <w:tc>
          <w:tcPr>
            <w:tcW w:w="222" w:type="dxa"/>
            <w:gridSpan w:val="2"/>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p>
        </w:tc>
        <w:tc>
          <w:tcPr>
            <w:tcW w:w="10578" w:type="dxa"/>
            <w:gridSpan w:val="14"/>
            <w:vMerge w:val="restart"/>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r w:rsidRPr="00006A76">
              <w:rPr>
                <w:rFonts w:ascii="Wingdings" w:hAnsi="Wingdings" w:cs="Arial"/>
                <w:noProof/>
                <w:color w:val="000000"/>
              </w:rPr>
              <w:drawing>
                <wp:anchor distT="0" distB="0" distL="114300" distR="114300" simplePos="0" relativeHeight="251659264" behindDoc="0" locked="0" layoutInCell="1" allowOverlap="1" wp14:anchorId="337B1ED1" wp14:editId="155A19DC">
                  <wp:simplePos x="0" y="0"/>
                  <wp:positionH relativeFrom="column">
                    <wp:posOffset>-260349</wp:posOffset>
                  </wp:positionH>
                  <wp:positionV relativeFrom="paragraph">
                    <wp:posOffset>16510</wp:posOffset>
                  </wp:positionV>
                  <wp:extent cx="6534150" cy="2857500"/>
                  <wp:effectExtent l="0" t="0" r="0" b="0"/>
                  <wp:wrapNone/>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r w:rsidR="00006A76" w:rsidRPr="00006A76" w:rsidTr="00006A76">
        <w:trPr>
          <w:gridBefore w:val="1"/>
          <w:wBefore w:w="108" w:type="dxa"/>
          <w:trHeight w:val="1620"/>
        </w:trPr>
        <w:tc>
          <w:tcPr>
            <w:tcW w:w="222" w:type="dxa"/>
            <w:gridSpan w:val="2"/>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p>
        </w:tc>
        <w:tc>
          <w:tcPr>
            <w:tcW w:w="10578" w:type="dxa"/>
            <w:gridSpan w:val="14"/>
            <w:vMerge/>
            <w:tcBorders>
              <w:top w:val="nil"/>
              <w:left w:val="nil"/>
              <w:bottom w:val="nil"/>
              <w:right w:val="nil"/>
            </w:tcBorders>
            <w:vAlign w:val="center"/>
            <w:hideMark/>
          </w:tcPr>
          <w:p w:rsidR="00006A76" w:rsidRPr="00006A76" w:rsidRDefault="00006A76" w:rsidP="00006A76">
            <w:pPr>
              <w:rPr>
                <w:rFonts w:ascii="Wingdings" w:hAnsi="Wingdings" w:cs="Arial"/>
                <w:color w:val="000000"/>
              </w:rPr>
            </w:pPr>
          </w:p>
        </w:tc>
      </w:tr>
      <w:tr w:rsidR="00006A76" w:rsidRPr="00006A76" w:rsidTr="00006A76">
        <w:trPr>
          <w:gridBefore w:val="1"/>
          <w:wBefore w:w="108" w:type="dxa"/>
          <w:trHeight w:val="1620"/>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0578" w:type="dxa"/>
            <w:gridSpan w:val="14"/>
            <w:vMerge/>
            <w:tcBorders>
              <w:top w:val="nil"/>
              <w:left w:val="nil"/>
              <w:bottom w:val="nil"/>
              <w:right w:val="nil"/>
            </w:tcBorders>
            <w:vAlign w:val="center"/>
            <w:hideMark/>
          </w:tcPr>
          <w:p w:rsidR="00006A76" w:rsidRPr="00006A76" w:rsidRDefault="00006A76" w:rsidP="00006A76">
            <w:pPr>
              <w:rPr>
                <w:rFonts w:ascii="Wingdings" w:hAnsi="Wingdings" w:cs="Arial"/>
                <w:color w:val="000000"/>
              </w:rPr>
            </w:pPr>
          </w:p>
        </w:tc>
      </w:tr>
    </w:tbl>
    <w:p w:rsidR="00006A76" w:rsidRDefault="00006A76">
      <w:r>
        <w:br w:type="page"/>
      </w:r>
    </w:p>
    <w:tbl>
      <w:tblPr>
        <w:tblW w:w="10800" w:type="dxa"/>
        <w:tblLook w:val="04A0" w:firstRow="1" w:lastRow="0" w:firstColumn="1" w:lastColumn="0" w:noHBand="0" w:noVBand="1"/>
      </w:tblPr>
      <w:tblGrid>
        <w:gridCol w:w="223"/>
        <w:gridCol w:w="2385"/>
        <w:gridCol w:w="1295"/>
        <w:gridCol w:w="1438"/>
        <w:gridCol w:w="1489"/>
        <w:gridCol w:w="1648"/>
        <w:gridCol w:w="1319"/>
        <w:gridCol w:w="1003"/>
      </w:tblGrid>
      <w:tr w:rsidR="00006A76" w:rsidRPr="00006A76" w:rsidTr="00006A76">
        <w:trPr>
          <w:trHeight w:val="1260"/>
        </w:trPr>
        <w:tc>
          <w:tcPr>
            <w:tcW w:w="10800" w:type="dxa"/>
            <w:gridSpan w:val="8"/>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r w:rsidRPr="00006A76">
              <w:rPr>
                <w:rFonts w:ascii="Wingdings" w:hAnsi="Wingdings" w:cs="Arial"/>
                <w:color w:val="000000"/>
              </w:rPr>
              <w:lastRenderedPageBreak/>
              <w:t></w:t>
            </w:r>
            <w:r w:rsidRPr="00006A76">
              <w:rPr>
                <w:b/>
                <w:bCs/>
                <w:color w:val="000000"/>
              </w:rPr>
              <w:t xml:space="preserve"> Investment - Infinex Financial-Securities</w:t>
            </w:r>
            <w:r w:rsidRPr="00006A76">
              <w:rPr>
                <w:rFonts w:ascii="Calibri" w:hAnsi="Calibri" w:cs="Arial"/>
                <w:color w:val="000000"/>
              </w:rPr>
              <w:t xml:space="preserve"> - As of October 31, 2016, investment account value is $152,036 . During the months of September &amp; October  2016,  invested $12,000/month in the six different mutual funds at $2,000/fund. During the month of November 2016, 1) the $38,000 CD will mature and 2) the $42,140 in available cash ($38,000 + $4,140) will be reinvested evenly between the six different mutual funds. </w:t>
            </w:r>
          </w:p>
        </w:tc>
      </w:tr>
      <w:tr w:rsidR="00006A76" w:rsidRPr="00006A76" w:rsidTr="00006A76">
        <w:trPr>
          <w:trHeight w:val="345"/>
        </w:trPr>
        <w:tc>
          <w:tcPr>
            <w:tcW w:w="220" w:type="dxa"/>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p>
        </w:tc>
        <w:tc>
          <w:tcPr>
            <w:tcW w:w="2431" w:type="dxa"/>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Beginning</w:t>
            </w:r>
          </w:p>
        </w:tc>
        <w:tc>
          <w:tcPr>
            <w:tcW w:w="1342" w:type="dxa"/>
            <w:tcBorders>
              <w:top w:val="single" w:sz="4" w:space="0" w:color="auto"/>
              <w:left w:val="nil"/>
              <w:bottom w:val="single" w:sz="4" w:space="0" w:color="auto"/>
              <w:right w:val="single" w:sz="4" w:space="0" w:color="auto"/>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Purchases</w:t>
            </w:r>
          </w:p>
        </w:tc>
        <w:tc>
          <w:tcPr>
            <w:tcW w:w="1516" w:type="dxa"/>
            <w:tcBorders>
              <w:top w:val="single" w:sz="4" w:space="0" w:color="auto"/>
              <w:left w:val="nil"/>
              <w:bottom w:val="single" w:sz="4" w:space="0" w:color="auto"/>
              <w:right w:val="single" w:sz="4" w:space="0" w:color="auto"/>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Income</w:t>
            </w:r>
          </w:p>
        </w:tc>
        <w:tc>
          <w:tcPr>
            <w:tcW w:w="1678" w:type="dxa"/>
            <w:tcBorders>
              <w:top w:val="single" w:sz="4" w:space="0" w:color="auto"/>
              <w:left w:val="nil"/>
              <w:bottom w:val="single" w:sz="4" w:space="0" w:color="auto"/>
              <w:right w:val="single" w:sz="4" w:space="0" w:color="auto"/>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Unrealized Gains</w:t>
            </w:r>
          </w:p>
        </w:tc>
        <w:tc>
          <w:tcPr>
            <w:tcW w:w="1342" w:type="dxa"/>
            <w:tcBorders>
              <w:top w:val="single" w:sz="4" w:space="0" w:color="auto"/>
              <w:left w:val="nil"/>
              <w:bottom w:val="single" w:sz="4" w:space="0" w:color="auto"/>
              <w:right w:val="single" w:sz="4" w:space="0" w:color="auto"/>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Ending Balance</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Cash</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151,035.72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FF0000"/>
                <w:sz w:val="22"/>
                <w:szCs w:val="22"/>
              </w:rPr>
              <w:t>(147,399.52)</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504.02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0.00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4,140.22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xml:space="preserve">FCISX </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18,339.01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172.34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116.55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18,455.56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xml:space="preserve">FRUGX </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18,254.34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87.67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FF0000"/>
                <w:sz w:val="22"/>
                <w:szCs w:val="22"/>
              </w:rPr>
              <w:t>(118.47)</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18,135.87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xml:space="preserve">FRGSX </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18,166.67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0.00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FF0000"/>
                <w:sz w:val="22"/>
                <w:szCs w:val="22"/>
              </w:rPr>
              <w:t>(78.68)</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18,087.99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FCSCX</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18,193.93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27.26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FF0000"/>
                <w:sz w:val="22"/>
                <w:szCs w:val="22"/>
              </w:rPr>
              <w:t>(9.50)</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18,184.43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xml:space="preserve">FSGCX </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18,221.22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54.57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182.43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18,403.65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TEGBX</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18,224.35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57.68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403.97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18,628.32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020" w:type="dxa"/>
            <w:tcBorders>
              <w:top w:val="nil"/>
              <w:left w:val="nil"/>
              <w:bottom w:val="nil"/>
              <w:right w:val="nil"/>
            </w:tcBorders>
            <w:shd w:val="clear" w:color="auto" w:fill="auto"/>
            <w:noWrap/>
            <w:vAlign w:val="bottom"/>
            <w:hideMark/>
          </w:tcPr>
          <w:p w:rsidR="00006A76" w:rsidRPr="00006A76" w:rsidRDefault="00006A76" w:rsidP="00006A76">
            <w:pPr>
              <w:rPr>
                <w:rFonts w:ascii="Arial" w:hAnsi="Arial" w:cs="Arial"/>
                <w:color w:val="000000"/>
                <w:sz w:val="22"/>
                <w:szCs w:val="22"/>
              </w:rPr>
            </w:pPr>
          </w:p>
        </w:tc>
      </w:tr>
      <w:tr w:rsidR="00006A76" w:rsidRPr="00006A76" w:rsidTr="00006A76">
        <w:trPr>
          <w:trHeight w:val="30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single" w:sz="4" w:space="0" w:color="auto"/>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Frederick County Bank CD (0.45%)</w:t>
            </w:r>
          </w:p>
        </w:tc>
        <w:tc>
          <w:tcPr>
            <w:tcW w:w="1251"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38,000.00 </w:t>
            </w:r>
          </w:p>
        </w:tc>
        <w:tc>
          <w:tcPr>
            <w:tcW w:w="1516"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57.14 </w:t>
            </w:r>
          </w:p>
        </w:tc>
        <w:tc>
          <w:tcPr>
            <w:tcW w:w="1678"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 </w:t>
            </w:r>
          </w:p>
        </w:tc>
        <w:tc>
          <w:tcPr>
            <w:tcW w:w="1342" w:type="dxa"/>
            <w:tcBorders>
              <w:top w:val="nil"/>
              <w:left w:val="nil"/>
              <w:bottom w:val="single" w:sz="4" w:space="0" w:color="auto"/>
              <w:right w:val="single" w:sz="4" w:space="0" w:color="auto"/>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38,000.00 </w:t>
            </w:r>
          </w:p>
        </w:tc>
        <w:tc>
          <w:tcPr>
            <w:tcW w:w="1020" w:type="dxa"/>
            <w:tcBorders>
              <w:top w:val="nil"/>
              <w:left w:val="nil"/>
              <w:bottom w:val="single" w:sz="4" w:space="0" w:color="auto"/>
              <w:right w:val="nil"/>
            </w:tcBorders>
            <w:shd w:val="clear" w:color="auto" w:fill="auto"/>
            <w:noWrap/>
            <w:vAlign w:val="bottom"/>
            <w:hideMark/>
          </w:tcPr>
          <w:p w:rsidR="00006A76" w:rsidRPr="00006A76" w:rsidRDefault="00006A76" w:rsidP="00006A76">
            <w:pPr>
              <w:jc w:val="center"/>
              <w:rPr>
                <w:rFonts w:ascii="Arial" w:hAnsi="Arial" w:cs="Arial"/>
                <w:color w:val="000000"/>
                <w:sz w:val="16"/>
                <w:szCs w:val="16"/>
              </w:rPr>
            </w:pPr>
            <w:r w:rsidRPr="00006A76">
              <w:rPr>
                <w:rFonts w:ascii="Arial" w:hAnsi="Arial" w:cs="Arial"/>
                <w:color w:val="000000"/>
                <w:sz w:val="16"/>
                <w:szCs w:val="16"/>
              </w:rPr>
              <w:t>Percent Increase</w:t>
            </w:r>
          </w:p>
        </w:tc>
      </w:tr>
      <w:tr w:rsidR="00006A76" w:rsidRPr="00006A76" w:rsidTr="00006A76">
        <w:trPr>
          <w:trHeight w:val="315"/>
        </w:trPr>
        <w:tc>
          <w:tcPr>
            <w:tcW w:w="220" w:type="dxa"/>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16"/>
                <w:szCs w:val="16"/>
              </w:rPr>
            </w:pPr>
          </w:p>
        </w:tc>
        <w:tc>
          <w:tcPr>
            <w:tcW w:w="2431" w:type="dxa"/>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1251" w:type="dxa"/>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1342" w:type="dxa"/>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1516" w:type="dxa"/>
            <w:tcBorders>
              <w:top w:val="nil"/>
              <w:left w:val="nil"/>
              <w:bottom w:val="nil"/>
              <w:right w:val="nil"/>
            </w:tcBorders>
            <w:shd w:val="clear" w:color="auto" w:fill="auto"/>
            <w:noWrap/>
            <w:vAlign w:val="bottom"/>
            <w:hideMark/>
          </w:tcPr>
          <w:p w:rsidR="00006A76" w:rsidRPr="00006A76" w:rsidRDefault="00006A76" w:rsidP="00006A76">
            <w:pPr>
              <w:rPr>
                <w:rFonts w:ascii="Arial" w:hAnsi="Arial" w:cs="Arial"/>
                <w:color w:val="000000"/>
                <w:sz w:val="22"/>
                <w:szCs w:val="22"/>
              </w:rPr>
            </w:pPr>
            <w:r w:rsidRPr="00006A76">
              <w:rPr>
                <w:rFonts w:ascii="Arial" w:hAnsi="Arial" w:cs="Arial"/>
                <w:color w:val="000000"/>
                <w:sz w:val="22"/>
                <w:szCs w:val="22"/>
              </w:rPr>
              <w:t>Totals</w:t>
            </w:r>
          </w:p>
        </w:tc>
        <w:tc>
          <w:tcPr>
            <w:tcW w:w="1678" w:type="dxa"/>
            <w:tcBorders>
              <w:top w:val="nil"/>
              <w:left w:val="nil"/>
              <w:bottom w:val="double" w:sz="6" w:space="0" w:color="auto"/>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496.30 </w:t>
            </w:r>
          </w:p>
        </w:tc>
        <w:tc>
          <w:tcPr>
            <w:tcW w:w="1342" w:type="dxa"/>
            <w:tcBorders>
              <w:top w:val="nil"/>
              <w:left w:val="nil"/>
              <w:bottom w:val="double" w:sz="6" w:space="0" w:color="auto"/>
              <w:right w:val="nil"/>
            </w:tcBorders>
            <w:shd w:val="clear" w:color="auto" w:fill="auto"/>
            <w:noWrap/>
            <w:vAlign w:val="bottom"/>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 xml:space="preserve">152,036.04 </w:t>
            </w:r>
          </w:p>
        </w:tc>
        <w:tc>
          <w:tcPr>
            <w:tcW w:w="1020" w:type="dxa"/>
            <w:tcBorders>
              <w:top w:val="nil"/>
              <w:left w:val="nil"/>
              <w:bottom w:val="double" w:sz="6" w:space="0" w:color="auto"/>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0.66%</w:t>
            </w:r>
          </w:p>
        </w:tc>
      </w:tr>
      <w:tr w:rsidR="00006A76" w:rsidRPr="00006A76" w:rsidTr="00006A76">
        <w:trPr>
          <w:trHeight w:val="315"/>
        </w:trPr>
        <w:tc>
          <w:tcPr>
            <w:tcW w:w="220" w:type="dxa"/>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22"/>
                <w:szCs w:val="22"/>
              </w:rPr>
            </w:pPr>
          </w:p>
        </w:tc>
        <w:tc>
          <w:tcPr>
            <w:tcW w:w="2431"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251"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342"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516"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678"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342"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020" w:type="dxa"/>
            <w:tcBorders>
              <w:top w:val="nil"/>
              <w:left w:val="nil"/>
              <w:bottom w:val="nil"/>
              <w:right w:val="nil"/>
            </w:tcBorders>
            <w:shd w:val="clear" w:color="auto" w:fill="auto"/>
            <w:hideMark/>
          </w:tcPr>
          <w:p w:rsidR="00006A76" w:rsidRPr="00006A76" w:rsidRDefault="00006A76" w:rsidP="00006A76">
            <w:pPr>
              <w:rPr>
                <w:sz w:val="20"/>
                <w:szCs w:val="20"/>
              </w:rPr>
            </w:pPr>
          </w:p>
        </w:tc>
      </w:tr>
      <w:tr w:rsidR="00006A76" w:rsidRPr="00006A76" w:rsidTr="00006A76">
        <w:trPr>
          <w:trHeight w:val="945"/>
        </w:trPr>
        <w:tc>
          <w:tcPr>
            <w:tcW w:w="220"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9560" w:type="dxa"/>
            <w:gridSpan w:val="6"/>
            <w:tcBorders>
              <w:top w:val="single" w:sz="4" w:space="0" w:color="auto"/>
              <w:left w:val="single" w:sz="4" w:space="0" w:color="auto"/>
              <w:bottom w:val="single" w:sz="4" w:space="0" w:color="auto"/>
              <w:right w:val="single" w:sz="4" w:space="0" w:color="auto"/>
            </w:tcBorders>
            <w:shd w:val="clear" w:color="auto" w:fill="auto"/>
            <w:hideMark/>
          </w:tcPr>
          <w:p w:rsidR="00006A76" w:rsidRPr="00006A76" w:rsidRDefault="00006A76" w:rsidP="00006A76">
            <w:pPr>
              <w:rPr>
                <w:rFonts w:ascii="Arial" w:hAnsi="Arial" w:cs="Arial"/>
                <w:color w:val="000000"/>
                <w:sz w:val="22"/>
                <w:szCs w:val="22"/>
              </w:rPr>
            </w:pPr>
            <w:r w:rsidRPr="00006A76">
              <w:rPr>
                <w:rFonts w:ascii="Calibri" w:hAnsi="Calibri" w:cs="Arial"/>
                <w:b/>
                <w:bCs/>
                <w:color w:val="000000"/>
                <w:sz w:val="22"/>
                <w:szCs w:val="22"/>
              </w:rPr>
              <w:t>TEGBX</w:t>
            </w:r>
            <w:r w:rsidRPr="00006A76">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1020" w:type="dxa"/>
            <w:tcBorders>
              <w:top w:val="nil"/>
              <w:left w:val="nil"/>
              <w:bottom w:val="nil"/>
              <w:right w:val="nil"/>
            </w:tcBorders>
            <w:shd w:val="clear" w:color="auto" w:fill="auto"/>
            <w:vAlign w:val="center"/>
            <w:hideMark/>
          </w:tcPr>
          <w:p w:rsidR="00006A76" w:rsidRPr="00006A76" w:rsidRDefault="00006A76" w:rsidP="00006A76">
            <w:pPr>
              <w:rPr>
                <w:rFonts w:ascii="Arial" w:hAnsi="Arial" w:cs="Arial"/>
                <w:color w:val="000000"/>
                <w:sz w:val="22"/>
                <w:szCs w:val="22"/>
              </w:rPr>
            </w:pPr>
          </w:p>
        </w:tc>
      </w:tr>
      <w:tr w:rsidR="00006A76" w:rsidRPr="00006A76" w:rsidTr="00006A76">
        <w:trPr>
          <w:trHeight w:val="945"/>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9560" w:type="dxa"/>
            <w:gridSpan w:val="6"/>
            <w:tcBorders>
              <w:top w:val="single" w:sz="4" w:space="0" w:color="auto"/>
              <w:left w:val="single" w:sz="4" w:space="0" w:color="auto"/>
              <w:bottom w:val="single" w:sz="4" w:space="0" w:color="auto"/>
              <w:right w:val="single" w:sz="4" w:space="0" w:color="auto"/>
            </w:tcBorders>
            <w:shd w:val="clear" w:color="auto" w:fill="auto"/>
            <w:hideMark/>
          </w:tcPr>
          <w:p w:rsidR="00006A76" w:rsidRPr="00006A76" w:rsidRDefault="00006A76" w:rsidP="00006A76">
            <w:pPr>
              <w:rPr>
                <w:rFonts w:ascii="Arial" w:hAnsi="Arial" w:cs="Arial"/>
                <w:color w:val="000000"/>
                <w:sz w:val="22"/>
                <w:szCs w:val="22"/>
              </w:rPr>
            </w:pPr>
            <w:r w:rsidRPr="00006A76">
              <w:rPr>
                <w:rFonts w:ascii="Calibri" w:hAnsi="Calibri" w:cs="Arial"/>
                <w:b/>
                <w:bCs/>
                <w:color w:val="000000"/>
                <w:sz w:val="22"/>
                <w:szCs w:val="22"/>
              </w:rPr>
              <w:t>FSGCX</w:t>
            </w:r>
            <w:r w:rsidRPr="00006A76">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1020" w:type="dxa"/>
            <w:tcBorders>
              <w:top w:val="nil"/>
              <w:left w:val="nil"/>
              <w:bottom w:val="nil"/>
              <w:right w:val="nil"/>
            </w:tcBorders>
            <w:shd w:val="clear" w:color="auto" w:fill="auto"/>
            <w:vAlign w:val="center"/>
            <w:hideMark/>
          </w:tcPr>
          <w:p w:rsidR="00006A76" w:rsidRPr="00006A76" w:rsidRDefault="00006A76" w:rsidP="00006A76">
            <w:pPr>
              <w:rPr>
                <w:rFonts w:ascii="Arial" w:hAnsi="Arial" w:cs="Arial"/>
                <w:color w:val="000000"/>
                <w:sz w:val="22"/>
                <w:szCs w:val="22"/>
              </w:rPr>
            </w:pPr>
          </w:p>
        </w:tc>
      </w:tr>
      <w:tr w:rsidR="00006A76" w:rsidRPr="00006A76" w:rsidTr="00006A76">
        <w:trPr>
          <w:trHeight w:val="945"/>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9560" w:type="dxa"/>
            <w:gridSpan w:val="6"/>
            <w:tcBorders>
              <w:top w:val="single" w:sz="4" w:space="0" w:color="auto"/>
              <w:left w:val="single" w:sz="4" w:space="0" w:color="auto"/>
              <w:bottom w:val="single" w:sz="4" w:space="0" w:color="auto"/>
              <w:right w:val="single" w:sz="4" w:space="0" w:color="auto"/>
            </w:tcBorders>
            <w:shd w:val="clear" w:color="auto" w:fill="auto"/>
            <w:hideMark/>
          </w:tcPr>
          <w:p w:rsidR="00006A76" w:rsidRPr="00006A76" w:rsidRDefault="00006A76" w:rsidP="00006A76">
            <w:pPr>
              <w:rPr>
                <w:rFonts w:ascii="Arial" w:hAnsi="Arial" w:cs="Arial"/>
                <w:color w:val="000000"/>
                <w:sz w:val="22"/>
                <w:szCs w:val="22"/>
              </w:rPr>
            </w:pPr>
            <w:r w:rsidRPr="00006A76">
              <w:rPr>
                <w:rFonts w:ascii="Calibri" w:hAnsi="Calibri" w:cs="Arial"/>
                <w:b/>
                <w:bCs/>
                <w:color w:val="000000"/>
                <w:sz w:val="22"/>
                <w:szCs w:val="22"/>
              </w:rPr>
              <w:t>FCSCX</w:t>
            </w:r>
            <w:r w:rsidRPr="00006A76">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1020" w:type="dxa"/>
            <w:tcBorders>
              <w:top w:val="nil"/>
              <w:left w:val="nil"/>
              <w:bottom w:val="nil"/>
              <w:right w:val="nil"/>
            </w:tcBorders>
            <w:shd w:val="clear" w:color="auto" w:fill="auto"/>
            <w:vAlign w:val="center"/>
            <w:hideMark/>
          </w:tcPr>
          <w:p w:rsidR="00006A76" w:rsidRPr="00006A76" w:rsidRDefault="00006A76" w:rsidP="00006A76">
            <w:pPr>
              <w:rPr>
                <w:rFonts w:ascii="Arial" w:hAnsi="Arial" w:cs="Arial"/>
                <w:color w:val="000000"/>
                <w:sz w:val="22"/>
                <w:szCs w:val="22"/>
              </w:rPr>
            </w:pPr>
          </w:p>
        </w:tc>
      </w:tr>
      <w:tr w:rsidR="00006A76" w:rsidRPr="00006A76" w:rsidTr="00006A76">
        <w:trPr>
          <w:trHeight w:val="945"/>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95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06A76" w:rsidRPr="00006A76" w:rsidRDefault="00006A76" w:rsidP="00006A76">
            <w:pPr>
              <w:rPr>
                <w:rFonts w:ascii="Arial" w:hAnsi="Arial" w:cs="Arial"/>
                <w:color w:val="000000"/>
                <w:sz w:val="22"/>
                <w:szCs w:val="22"/>
              </w:rPr>
            </w:pPr>
            <w:r w:rsidRPr="00006A76">
              <w:rPr>
                <w:rFonts w:ascii="Calibri" w:hAnsi="Calibri" w:cs="Arial"/>
                <w:b/>
                <w:bCs/>
                <w:color w:val="000000"/>
                <w:sz w:val="22"/>
                <w:szCs w:val="22"/>
              </w:rPr>
              <w:t>FRGSX</w:t>
            </w:r>
            <w:r w:rsidRPr="00006A76">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1020" w:type="dxa"/>
            <w:tcBorders>
              <w:top w:val="nil"/>
              <w:left w:val="nil"/>
              <w:bottom w:val="nil"/>
              <w:right w:val="nil"/>
            </w:tcBorders>
            <w:shd w:val="clear" w:color="auto" w:fill="auto"/>
            <w:vAlign w:val="center"/>
            <w:hideMark/>
          </w:tcPr>
          <w:p w:rsidR="00006A76" w:rsidRPr="00006A76" w:rsidRDefault="00006A76" w:rsidP="00006A76">
            <w:pPr>
              <w:rPr>
                <w:rFonts w:ascii="Arial" w:hAnsi="Arial" w:cs="Arial"/>
                <w:color w:val="000000"/>
                <w:sz w:val="22"/>
                <w:szCs w:val="22"/>
              </w:rPr>
            </w:pPr>
          </w:p>
        </w:tc>
      </w:tr>
      <w:tr w:rsidR="00006A76" w:rsidRPr="00006A76" w:rsidTr="00006A76">
        <w:trPr>
          <w:trHeight w:val="945"/>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9560" w:type="dxa"/>
            <w:gridSpan w:val="6"/>
            <w:tcBorders>
              <w:top w:val="single" w:sz="4" w:space="0" w:color="auto"/>
              <w:left w:val="single" w:sz="4" w:space="0" w:color="auto"/>
              <w:bottom w:val="single" w:sz="4" w:space="0" w:color="auto"/>
              <w:right w:val="single" w:sz="4" w:space="0" w:color="auto"/>
            </w:tcBorders>
            <w:shd w:val="clear" w:color="auto" w:fill="auto"/>
            <w:hideMark/>
          </w:tcPr>
          <w:p w:rsidR="00006A76" w:rsidRPr="00006A76" w:rsidRDefault="00006A76" w:rsidP="00006A76">
            <w:pPr>
              <w:rPr>
                <w:rFonts w:ascii="Arial" w:hAnsi="Arial" w:cs="Arial"/>
                <w:color w:val="000000"/>
                <w:sz w:val="22"/>
                <w:szCs w:val="22"/>
              </w:rPr>
            </w:pPr>
            <w:r w:rsidRPr="00006A76">
              <w:rPr>
                <w:rFonts w:ascii="Calibri" w:hAnsi="Calibri" w:cs="Arial"/>
                <w:b/>
                <w:bCs/>
                <w:color w:val="000000"/>
                <w:sz w:val="22"/>
                <w:szCs w:val="22"/>
              </w:rPr>
              <w:t>FRUGX</w:t>
            </w:r>
            <w:r w:rsidRPr="00006A76">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1020" w:type="dxa"/>
            <w:tcBorders>
              <w:top w:val="nil"/>
              <w:left w:val="nil"/>
              <w:bottom w:val="nil"/>
              <w:right w:val="nil"/>
            </w:tcBorders>
            <w:shd w:val="clear" w:color="auto" w:fill="auto"/>
            <w:vAlign w:val="center"/>
            <w:hideMark/>
          </w:tcPr>
          <w:p w:rsidR="00006A76" w:rsidRPr="00006A76" w:rsidRDefault="00006A76" w:rsidP="00006A76">
            <w:pPr>
              <w:rPr>
                <w:rFonts w:ascii="Arial" w:hAnsi="Arial" w:cs="Arial"/>
                <w:color w:val="000000"/>
                <w:sz w:val="22"/>
                <w:szCs w:val="22"/>
              </w:rPr>
            </w:pPr>
          </w:p>
        </w:tc>
      </w:tr>
      <w:tr w:rsidR="00006A76" w:rsidRPr="00006A76" w:rsidTr="00006A76">
        <w:trPr>
          <w:trHeight w:val="945"/>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9560" w:type="dxa"/>
            <w:gridSpan w:val="6"/>
            <w:tcBorders>
              <w:top w:val="single" w:sz="4" w:space="0" w:color="auto"/>
              <w:left w:val="single" w:sz="4" w:space="0" w:color="auto"/>
              <w:bottom w:val="single" w:sz="4" w:space="0" w:color="auto"/>
              <w:right w:val="single" w:sz="4" w:space="0" w:color="auto"/>
            </w:tcBorders>
            <w:shd w:val="clear" w:color="auto" w:fill="auto"/>
            <w:hideMark/>
          </w:tcPr>
          <w:p w:rsidR="00006A76" w:rsidRPr="00006A76" w:rsidRDefault="00006A76" w:rsidP="00006A76">
            <w:pPr>
              <w:spacing w:after="240"/>
              <w:rPr>
                <w:rFonts w:ascii="Arial" w:hAnsi="Arial" w:cs="Arial"/>
                <w:color w:val="000000"/>
                <w:sz w:val="22"/>
                <w:szCs w:val="22"/>
              </w:rPr>
            </w:pPr>
            <w:r w:rsidRPr="00006A76">
              <w:rPr>
                <w:rFonts w:ascii="Calibri" w:hAnsi="Calibri" w:cs="Arial"/>
                <w:b/>
                <w:bCs/>
                <w:color w:val="000000"/>
                <w:sz w:val="22"/>
                <w:szCs w:val="22"/>
              </w:rPr>
              <w:t>FCISX</w:t>
            </w:r>
            <w:r w:rsidRPr="00006A76">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1020" w:type="dxa"/>
            <w:tcBorders>
              <w:top w:val="nil"/>
              <w:left w:val="nil"/>
              <w:bottom w:val="nil"/>
              <w:right w:val="nil"/>
            </w:tcBorders>
            <w:shd w:val="clear" w:color="auto" w:fill="auto"/>
            <w:vAlign w:val="center"/>
            <w:hideMark/>
          </w:tcPr>
          <w:p w:rsidR="00006A76" w:rsidRPr="00006A76" w:rsidRDefault="00006A76" w:rsidP="00006A76">
            <w:pPr>
              <w:spacing w:after="240"/>
              <w:rPr>
                <w:rFonts w:ascii="Arial" w:hAnsi="Arial" w:cs="Arial"/>
                <w:color w:val="000000"/>
                <w:sz w:val="22"/>
                <w:szCs w:val="22"/>
              </w:rPr>
            </w:pPr>
          </w:p>
        </w:tc>
      </w:tr>
      <w:tr w:rsidR="00006A76" w:rsidRPr="00006A76" w:rsidTr="00006A76">
        <w:trPr>
          <w:trHeight w:val="150"/>
        </w:trPr>
        <w:tc>
          <w:tcPr>
            <w:tcW w:w="220" w:type="dxa"/>
            <w:tcBorders>
              <w:top w:val="nil"/>
              <w:left w:val="nil"/>
              <w:bottom w:val="nil"/>
              <w:right w:val="nil"/>
            </w:tcBorders>
            <w:shd w:val="clear" w:color="auto" w:fill="auto"/>
            <w:hideMark/>
          </w:tcPr>
          <w:p w:rsidR="00006A76" w:rsidRPr="00006A76" w:rsidRDefault="00006A76" w:rsidP="00006A76">
            <w:pPr>
              <w:jc w:val="center"/>
              <w:rPr>
                <w:sz w:val="20"/>
                <w:szCs w:val="20"/>
              </w:rPr>
            </w:pPr>
          </w:p>
        </w:tc>
        <w:tc>
          <w:tcPr>
            <w:tcW w:w="2431"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251"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342"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516"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678"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342"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020" w:type="dxa"/>
            <w:tcBorders>
              <w:top w:val="nil"/>
              <w:left w:val="nil"/>
              <w:bottom w:val="nil"/>
              <w:right w:val="nil"/>
            </w:tcBorders>
            <w:shd w:val="clear" w:color="auto" w:fill="auto"/>
            <w:hideMark/>
          </w:tcPr>
          <w:p w:rsidR="00006A76" w:rsidRPr="00006A76" w:rsidRDefault="00006A76" w:rsidP="00006A76">
            <w:pPr>
              <w:rPr>
                <w:sz w:val="20"/>
                <w:szCs w:val="20"/>
              </w:rPr>
            </w:pPr>
          </w:p>
        </w:tc>
      </w:tr>
    </w:tbl>
    <w:p w:rsidR="00006A76" w:rsidRDefault="00006A76">
      <w:r>
        <w:br w:type="page"/>
      </w:r>
    </w:p>
    <w:tbl>
      <w:tblPr>
        <w:tblW w:w="10908" w:type="dxa"/>
        <w:tblInd w:w="-108" w:type="dxa"/>
        <w:tblLook w:val="04A0" w:firstRow="1" w:lastRow="0" w:firstColumn="1" w:lastColumn="0" w:noHBand="0" w:noVBand="1"/>
      </w:tblPr>
      <w:tblGrid>
        <w:gridCol w:w="108"/>
        <w:gridCol w:w="114"/>
        <w:gridCol w:w="108"/>
        <w:gridCol w:w="2323"/>
        <w:gridCol w:w="108"/>
        <w:gridCol w:w="1251"/>
        <w:gridCol w:w="1282"/>
        <w:gridCol w:w="108"/>
        <w:gridCol w:w="1549"/>
        <w:gridCol w:w="108"/>
        <w:gridCol w:w="1729"/>
        <w:gridCol w:w="108"/>
        <w:gridCol w:w="1176"/>
        <w:gridCol w:w="108"/>
        <w:gridCol w:w="620"/>
        <w:gridCol w:w="108"/>
      </w:tblGrid>
      <w:tr w:rsidR="00006A76" w:rsidRPr="00006A76" w:rsidTr="00006A76">
        <w:trPr>
          <w:gridBefore w:val="1"/>
          <w:wBefore w:w="108" w:type="dxa"/>
          <w:trHeight w:val="510"/>
        </w:trPr>
        <w:tc>
          <w:tcPr>
            <w:tcW w:w="10800" w:type="dxa"/>
            <w:gridSpan w:val="15"/>
            <w:tcBorders>
              <w:top w:val="nil"/>
              <w:left w:val="nil"/>
              <w:bottom w:val="nil"/>
              <w:right w:val="nil"/>
            </w:tcBorders>
            <w:shd w:val="clear" w:color="auto" w:fill="auto"/>
            <w:vAlign w:val="bottom"/>
            <w:hideMark/>
          </w:tcPr>
          <w:p w:rsidR="00006A76" w:rsidRPr="00006A76" w:rsidRDefault="00006A76" w:rsidP="00006A76">
            <w:pPr>
              <w:rPr>
                <w:rFonts w:ascii="Wingdings" w:hAnsi="Wingdings" w:cs="Arial"/>
                <w:color w:val="000000"/>
              </w:rPr>
            </w:pPr>
            <w:r w:rsidRPr="00006A76">
              <w:rPr>
                <w:rFonts w:ascii="Wingdings" w:hAnsi="Wingdings" w:cs="Arial"/>
                <w:color w:val="000000"/>
              </w:rPr>
              <w:lastRenderedPageBreak/>
              <w:t></w:t>
            </w:r>
            <w:r w:rsidRPr="00006A76">
              <w:rPr>
                <w:b/>
                <w:bCs/>
                <w:color w:val="000000"/>
              </w:rPr>
              <w:t xml:space="preserve"> Equipment, Furniture &amp; Vehicles</w:t>
            </w:r>
            <w:r w:rsidRPr="00006A76">
              <w:rPr>
                <w:rFonts w:ascii="Calibri" w:hAnsi="Calibri" w:cs="Arial"/>
                <w:color w:val="000000"/>
              </w:rPr>
              <w:t xml:space="preserve"> -Agency purchased the following capital equipment. </w:t>
            </w:r>
          </w:p>
        </w:tc>
      </w:tr>
      <w:tr w:rsidR="00006A76" w:rsidRPr="00006A76" w:rsidTr="00006A76">
        <w:trPr>
          <w:gridBefore w:val="1"/>
          <w:wBefore w:w="108" w:type="dxa"/>
          <w:trHeight w:val="300"/>
        </w:trPr>
        <w:tc>
          <w:tcPr>
            <w:tcW w:w="222" w:type="dxa"/>
            <w:gridSpan w:val="2"/>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p>
        </w:tc>
        <w:tc>
          <w:tcPr>
            <w:tcW w:w="2431" w:type="dxa"/>
            <w:gridSpan w:val="2"/>
            <w:tcBorders>
              <w:top w:val="single" w:sz="4" w:space="0" w:color="auto"/>
              <w:left w:val="single" w:sz="4" w:space="0" w:color="auto"/>
              <w:bottom w:val="single" w:sz="4" w:space="0" w:color="auto"/>
              <w:right w:val="single" w:sz="4" w:space="0" w:color="auto"/>
            </w:tcBorders>
            <w:shd w:val="clear" w:color="auto" w:fill="auto"/>
            <w:hideMark/>
          </w:tcPr>
          <w:p w:rsidR="00006A76" w:rsidRPr="00006A76" w:rsidRDefault="00006A76" w:rsidP="00006A76">
            <w:pPr>
              <w:jc w:val="center"/>
              <w:rPr>
                <w:rFonts w:ascii="Calibri" w:hAnsi="Calibri" w:cs="Arial"/>
                <w:b/>
                <w:bCs/>
                <w:color w:val="000000"/>
                <w:sz w:val="22"/>
                <w:szCs w:val="22"/>
              </w:rPr>
            </w:pPr>
            <w:r w:rsidRPr="00006A76">
              <w:rPr>
                <w:rFonts w:ascii="Calibri" w:hAnsi="Calibri" w:cs="Arial"/>
                <w:b/>
                <w:bCs/>
                <w:color w:val="000000"/>
                <w:sz w:val="22"/>
                <w:szCs w:val="22"/>
              </w:rPr>
              <w:t>Month in Service</w:t>
            </w:r>
          </w:p>
        </w:tc>
        <w:tc>
          <w:tcPr>
            <w:tcW w:w="1251" w:type="dxa"/>
            <w:tcBorders>
              <w:top w:val="single" w:sz="4" w:space="0" w:color="auto"/>
              <w:left w:val="nil"/>
              <w:bottom w:val="single" w:sz="4" w:space="0" w:color="auto"/>
              <w:right w:val="single" w:sz="4" w:space="0" w:color="auto"/>
            </w:tcBorders>
            <w:shd w:val="clear" w:color="auto" w:fill="auto"/>
            <w:noWrap/>
            <w:vAlign w:val="bottom"/>
            <w:hideMark/>
          </w:tcPr>
          <w:p w:rsidR="00006A76" w:rsidRPr="00006A76" w:rsidRDefault="00006A76" w:rsidP="00006A76">
            <w:pPr>
              <w:jc w:val="center"/>
              <w:rPr>
                <w:rFonts w:ascii="Calibri" w:hAnsi="Calibri" w:cs="Arial"/>
                <w:b/>
                <w:bCs/>
                <w:color w:val="000000"/>
                <w:sz w:val="22"/>
                <w:szCs w:val="22"/>
              </w:rPr>
            </w:pPr>
            <w:r w:rsidRPr="00006A76">
              <w:rPr>
                <w:rFonts w:ascii="Calibri" w:hAnsi="Calibri" w:cs="Arial"/>
                <w:b/>
                <w:bCs/>
                <w:color w:val="000000"/>
                <w:sz w:val="22"/>
                <w:szCs w:val="22"/>
              </w:rPr>
              <w:t>Funding Source</w:t>
            </w:r>
          </w:p>
        </w:tc>
        <w:tc>
          <w:tcPr>
            <w:tcW w:w="1390" w:type="dxa"/>
            <w:gridSpan w:val="2"/>
            <w:tcBorders>
              <w:top w:val="single" w:sz="4" w:space="0" w:color="auto"/>
              <w:left w:val="nil"/>
              <w:bottom w:val="single" w:sz="4" w:space="0" w:color="auto"/>
              <w:right w:val="single" w:sz="4" w:space="0" w:color="auto"/>
            </w:tcBorders>
            <w:shd w:val="clear" w:color="auto" w:fill="auto"/>
            <w:hideMark/>
          </w:tcPr>
          <w:p w:rsidR="00006A76" w:rsidRPr="00006A76" w:rsidRDefault="00006A76" w:rsidP="00006A76">
            <w:pPr>
              <w:jc w:val="center"/>
              <w:rPr>
                <w:rFonts w:ascii="Calibri" w:hAnsi="Calibri" w:cs="Arial"/>
                <w:b/>
                <w:bCs/>
                <w:color w:val="000000"/>
                <w:sz w:val="22"/>
                <w:szCs w:val="22"/>
              </w:rPr>
            </w:pPr>
            <w:r w:rsidRPr="00006A76">
              <w:rPr>
                <w:rFonts w:ascii="Calibri" w:hAnsi="Calibri" w:cs="Arial"/>
                <w:b/>
                <w:bCs/>
                <w:color w:val="000000"/>
                <w:sz w:val="22"/>
                <w:szCs w:val="22"/>
              </w:rPr>
              <w:t>Supplier</w:t>
            </w:r>
          </w:p>
        </w:tc>
        <w:tc>
          <w:tcPr>
            <w:tcW w:w="3494" w:type="dxa"/>
            <w:gridSpan w:val="4"/>
            <w:tcBorders>
              <w:top w:val="single" w:sz="4" w:space="0" w:color="auto"/>
              <w:left w:val="nil"/>
              <w:bottom w:val="single" w:sz="4" w:space="0" w:color="auto"/>
              <w:right w:val="single" w:sz="4" w:space="0" w:color="auto"/>
            </w:tcBorders>
            <w:shd w:val="clear" w:color="auto" w:fill="auto"/>
            <w:hideMark/>
          </w:tcPr>
          <w:p w:rsidR="00006A76" w:rsidRPr="00006A76" w:rsidRDefault="00006A76" w:rsidP="00006A76">
            <w:pPr>
              <w:jc w:val="center"/>
              <w:rPr>
                <w:rFonts w:ascii="Calibri" w:hAnsi="Calibri" w:cs="Arial"/>
                <w:b/>
                <w:bCs/>
                <w:color w:val="000000"/>
                <w:sz w:val="22"/>
                <w:szCs w:val="22"/>
              </w:rPr>
            </w:pPr>
            <w:r w:rsidRPr="00006A76">
              <w:rPr>
                <w:rFonts w:ascii="Calibri" w:hAnsi="Calibri" w:cs="Arial"/>
                <w:b/>
                <w:bCs/>
                <w:color w:val="000000"/>
                <w:sz w:val="22"/>
                <w:szCs w:val="22"/>
              </w:rPr>
              <w:t>Description</w:t>
            </w:r>
          </w:p>
        </w:tc>
        <w:tc>
          <w:tcPr>
            <w:tcW w:w="1284" w:type="dxa"/>
            <w:gridSpan w:val="2"/>
            <w:tcBorders>
              <w:top w:val="single" w:sz="4" w:space="0" w:color="auto"/>
              <w:left w:val="nil"/>
              <w:bottom w:val="single" w:sz="4" w:space="0" w:color="auto"/>
              <w:right w:val="single" w:sz="4" w:space="0" w:color="auto"/>
            </w:tcBorders>
            <w:shd w:val="clear" w:color="auto" w:fill="auto"/>
            <w:hideMark/>
          </w:tcPr>
          <w:p w:rsidR="00006A76" w:rsidRPr="00006A76" w:rsidRDefault="00006A76" w:rsidP="00006A76">
            <w:pPr>
              <w:jc w:val="center"/>
              <w:rPr>
                <w:rFonts w:ascii="Calibri" w:hAnsi="Calibri" w:cs="Arial"/>
                <w:b/>
                <w:bCs/>
                <w:color w:val="000000"/>
                <w:sz w:val="22"/>
                <w:szCs w:val="22"/>
              </w:rPr>
            </w:pPr>
            <w:r w:rsidRPr="00006A76">
              <w:rPr>
                <w:rFonts w:ascii="Calibri" w:hAnsi="Calibri" w:cs="Arial"/>
                <w:b/>
                <w:bCs/>
                <w:color w:val="000000"/>
                <w:sz w:val="22"/>
                <w:szCs w:val="22"/>
              </w:rPr>
              <w:t>Cost</w:t>
            </w:r>
          </w:p>
        </w:tc>
        <w:tc>
          <w:tcPr>
            <w:tcW w:w="728" w:type="dxa"/>
            <w:gridSpan w:val="2"/>
            <w:tcBorders>
              <w:top w:val="nil"/>
              <w:left w:val="nil"/>
              <w:bottom w:val="nil"/>
              <w:right w:val="nil"/>
            </w:tcBorders>
            <w:shd w:val="clear" w:color="auto" w:fill="auto"/>
            <w:hideMark/>
          </w:tcPr>
          <w:p w:rsidR="00006A76" w:rsidRPr="00006A76" w:rsidRDefault="00006A76" w:rsidP="00006A76">
            <w:pPr>
              <w:jc w:val="center"/>
              <w:rPr>
                <w:rFonts w:ascii="Calibri" w:hAnsi="Calibri" w:cs="Arial"/>
                <w:b/>
                <w:bCs/>
                <w:color w:val="000000"/>
                <w:sz w:val="22"/>
                <w:szCs w:val="22"/>
              </w:rPr>
            </w:pPr>
          </w:p>
        </w:tc>
      </w:tr>
      <w:tr w:rsidR="00006A76" w:rsidRPr="00006A76" w:rsidTr="00006A76">
        <w:trPr>
          <w:gridBefore w:val="1"/>
          <w:wBefore w:w="108" w:type="dxa"/>
          <w:trHeight w:val="570"/>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single" w:sz="4" w:space="0" w:color="auto"/>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Apr-16</w:t>
            </w:r>
          </w:p>
        </w:tc>
        <w:tc>
          <w:tcPr>
            <w:tcW w:w="1251" w:type="dxa"/>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OFA: NY Connects</w:t>
            </w:r>
          </w:p>
        </w:tc>
        <w:tc>
          <w:tcPr>
            <w:tcW w:w="1390"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Intelligent Tech Solutions </w:t>
            </w:r>
          </w:p>
        </w:tc>
        <w:tc>
          <w:tcPr>
            <w:tcW w:w="3494" w:type="dxa"/>
            <w:gridSpan w:val="4"/>
            <w:tcBorders>
              <w:top w:val="single" w:sz="4" w:space="0" w:color="auto"/>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Dell Optiplex 9030 Computer</w:t>
            </w:r>
          </w:p>
        </w:tc>
        <w:tc>
          <w:tcPr>
            <w:tcW w:w="1284"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$1,343 </w:t>
            </w:r>
          </w:p>
        </w:tc>
        <w:tc>
          <w:tcPr>
            <w:tcW w:w="728" w:type="dxa"/>
            <w:gridSpan w:val="2"/>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Before w:val="1"/>
          <w:wBefore w:w="108" w:type="dxa"/>
          <w:trHeight w:val="570"/>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single" w:sz="4" w:space="0" w:color="auto"/>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Apr-16</w:t>
            </w:r>
          </w:p>
        </w:tc>
        <w:tc>
          <w:tcPr>
            <w:tcW w:w="1251" w:type="dxa"/>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OFA: NYC - EEP</w:t>
            </w:r>
          </w:p>
        </w:tc>
        <w:tc>
          <w:tcPr>
            <w:tcW w:w="1390"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Intelligent Tech Solutions </w:t>
            </w:r>
          </w:p>
        </w:tc>
        <w:tc>
          <w:tcPr>
            <w:tcW w:w="3494" w:type="dxa"/>
            <w:gridSpan w:val="4"/>
            <w:tcBorders>
              <w:top w:val="single" w:sz="4" w:space="0" w:color="auto"/>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Dell Optiplex 9030 Computer</w:t>
            </w:r>
          </w:p>
        </w:tc>
        <w:tc>
          <w:tcPr>
            <w:tcW w:w="1284"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1,210 </w:t>
            </w:r>
          </w:p>
        </w:tc>
        <w:tc>
          <w:tcPr>
            <w:tcW w:w="728" w:type="dxa"/>
            <w:gridSpan w:val="2"/>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Before w:val="1"/>
          <w:wBefore w:w="108" w:type="dxa"/>
          <w:trHeight w:val="855"/>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single" w:sz="4" w:space="0" w:color="auto"/>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Jul-16</w:t>
            </w:r>
          </w:p>
        </w:tc>
        <w:tc>
          <w:tcPr>
            <w:tcW w:w="1251" w:type="dxa"/>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OFA: NYC - EEP</w:t>
            </w:r>
          </w:p>
        </w:tc>
        <w:tc>
          <w:tcPr>
            <w:tcW w:w="1390"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Standard Commercial Interiors </w:t>
            </w:r>
          </w:p>
        </w:tc>
        <w:tc>
          <w:tcPr>
            <w:tcW w:w="3494" w:type="dxa"/>
            <w:gridSpan w:val="4"/>
            <w:tcBorders>
              <w:top w:val="single" w:sz="4" w:space="0" w:color="auto"/>
              <w:left w:val="nil"/>
              <w:bottom w:val="single" w:sz="4" w:space="0" w:color="auto"/>
              <w:right w:val="single" w:sz="4" w:space="0" w:color="000000"/>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Workstation/Desk</w:t>
            </w:r>
          </w:p>
        </w:tc>
        <w:tc>
          <w:tcPr>
            <w:tcW w:w="1284"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1,319 </w:t>
            </w:r>
          </w:p>
        </w:tc>
        <w:tc>
          <w:tcPr>
            <w:tcW w:w="728" w:type="dxa"/>
            <w:gridSpan w:val="2"/>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Before w:val="1"/>
          <w:wBefore w:w="108" w:type="dxa"/>
          <w:trHeight w:val="570"/>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single" w:sz="4" w:space="0" w:color="auto"/>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Aug-16</w:t>
            </w:r>
          </w:p>
        </w:tc>
        <w:tc>
          <w:tcPr>
            <w:tcW w:w="1251" w:type="dxa"/>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Navigator Program</w:t>
            </w:r>
          </w:p>
        </w:tc>
        <w:tc>
          <w:tcPr>
            <w:tcW w:w="1390"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Intelligent Tech Solutions </w:t>
            </w:r>
          </w:p>
        </w:tc>
        <w:tc>
          <w:tcPr>
            <w:tcW w:w="3494" w:type="dxa"/>
            <w:gridSpan w:val="4"/>
            <w:tcBorders>
              <w:top w:val="single" w:sz="4" w:space="0" w:color="auto"/>
              <w:left w:val="nil"/>
              <w:bottom w:val="single" w:sz="4" w:space="0" w:color="auto"/>
              <w:right w:val="single" w:sz="4" w:space="0" w:color="000000"/>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Dell Latitude 5000 Laptop</w:t>
            </w:r>
          </w:p>
        </w:tc>
        <w:tc>
          <w:tcPr>
            <w:tcW w:w="1284"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1,866 </w:t>
            </w:r>
          </w:p>
        </w:tc>
        <w:tc>
          <w:tcPr>
            <w:tcW w:w="728" w:type="dxa"/>
            <w:gridSpan w:val="2"/>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Before w:val="1"/>
          <w:wBefore w:w="108" w:type="dxa"/>
          <w:trHeight w:val="570"/>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single" w:sz="4" w:space="0" w:color="auto"/>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Aug-16</w:t>
            </w:r>
          </w:p>
        </w:tc>
        <w:tc>
          <w:tcPr>
            <w:tcW w:w="1251" w:type="dxa"/>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Cancer Services Program</w:t>
            </w:r>
          </w:p>
        </w:tc>
        <w:tc>
          <w:tcPr>
            <w:tcW w:w="1390"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Intelligent Tech Solutions </w:t>
            </w:r>
          </w:p>
        </w:tc>
        <w:tc>
          <w:tcPr>
            <w:tcW w:w="3494" w:type="dxa"/>
            <w:gridSpan w:val="4"/>
            <w:tcBorders>
              <w:top w:val="single" w:sz="4" w:space="0" w:color="auto"/>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Dell Optiplex 24 Computer</w:t>
            </w:r>
          </w:p>
        </w:tc>
        <w:tc>
          <w:tcPr>
            <w:tcW w:w="1284" w:type="dxa"/>
            <w:gridSpan w:val="2"/>
            <w:tcBorders>
              <w:top w:val="nil"/>
              <w:left w:val="nil"/>
              <w:bottom w:val="single" w:sz="4" w:space="0" w:color="auto"/>
              <w:right w:val="single" w:sz="4" w:space="0" w:color="auto"/>
            </w:tcBorders>
            <w:shd w:val="clear" w:color="auto" w:fill="auto"/>
            <w:vAlign w:val="center"/>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 xml:space="preserve">                     1,388 </w:t>
            </w:r>
          </w:p>
        </w:tc>
        <w:tc>
          <w:tcPr>
            <w:tcW w:w="728" w:type="dxa"/>
            <w:gridSpan w:val="2"/>
            <w:tcBorders>
              <w:top w:val="nil"/>
              <w:left w:val="nil"/>
              <w:bottom w:val="nil"/>
              <w:right w:val="nil"/>
            </w:tcBorders>
            <w:shd w:val="clear" w:color="auto" w:fill="auto"/>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Before w:val="1"/>
          <w:wBefore w:w="108" w:type="dxa"/>
          <w:trHeight w:val="300"/>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251"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390"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657"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837" w:type="dxa"/>
            <w:gridSpan w:val="2"/>
            <w:tcBorders>
              <w:top w:val="nil"/>
              <w:left w:val="nil"/>
              <w:bottom w:val="nil"/>
              <w:right w:val="nil"/>
            </w:tcBorders>
            <w:shd w:val="clear" w:color="auto" w:fill="auto"/>
            <w:hideMark/>
          </w:tcPr>
          <w:p w:rsidR="00006A76" w:rsidRPr="00006A76" w:rsidRDefault="00006A76" w:rsidP="00006A76">
            <w:pPr>
              <w:jc w:val="right"/>
              <w:rPr>
                <w:rFonts w:ascii="Arial" w:hAnsi="Arial" w:cs="Arial"/>
                <w:color w:val="000000"/>
                <w:sz w:val="22"/>
                <w:szCs w:val="22"/>
              </w:rPr>
            </w:pPr>
            <w:r w:rsidRPr="00006A76">
              <w:rPr>
                <w:rFonts w:ascii="Arial" w:hAnsi="Arial" w:cs="Arial"/>
                <w:color w:val="000000"/>
                <w:sz w:val="22"/>
                <w:szCs w:val="22"/>
              </w:rPr>
              <w:t>Total</w:t>
            </w:r>
          </w:p>
        </w:tc>
        <w:tc>
          <w:tcPr>
            <w:tcW w:w="1284" w:type="dxa"/>
            <w:gridSpan w:val="2"/>
            <w:tcBorders>
              <w:top w:val="nil"/>
              <w:left w:val="single" w:sz="4" w:space="0" w:color="auto"/>
              <w:bottom w:val="single" w:sz="4" w:space="0" w:color="auto"/>
              <w:right w:val="single" w:sz="4" w:space="0" w:color="auto"/>
            </w:tcBorders>
            <w:shd w:val="clear" w:color="auto" w:fill="auto"/>
            <w:hideMark/>
          </w:tcPr>
          <w:p w:rsidR="00006A76" w:rsidRPr="00006A76" w:rsidRDefault="00006A76" w:rsidP="00006A76">
            <w:pPr>
              <w:rPr>
                <w:rFonts w:ascii="Arial" w:hAnsi="Arial" w:cs="Arial"/>
                <w:color w:val="000000"/>
                <w:sz w:val="22"/>
                <w:szCs w:val="22"/>
              </w:rPr>
            </w:pPr>
            <w:r>
              <w:rPr>
                <w:rFonts w:ascii="Arial" w:hAnsi="Arial" w:cs="Arial"/>
                <w:color w:val="000000"/>
                <w:sz w:val="22"/>
                <w:szCs w:val="22"/>
              </w:rPr>
              <w:t>$</w:t>
            </w:r>
            <w:r w:rsidRPr="00006A76">
              <w:rPr>
                <w:rFonts w:ascii="Arial" w:hAnsi="Arial" w:cs="Arial"/>
                <w:color w:val="000000"/>
                <w:sz w:val="22"/>
                <w:szCs w:val="22"/>
              </w:rPr>
              <w:t xml:space="preserve"> 7,126 </w:t>
            </w:r>
          </w:p>
        </w:tc>
        <w:tc>
          <w:tcPr>
            <w:tcW w:w="728" w:type="dxa"/>
            <w:gridSpan w:val="2"/>
            <w:tcBorders>
              <w:top w:val="nil"/>
              <w:left w:val="nil"/>
              <w:bottom w:val="nil"/>
              <w:right w:val="nil"/>
            </w:tcBorders>
            <w:shd w:val="clear" w:color="auto" w:fill="auto"/>
            <w:hideMark/>
          </w:tcPr>
          <w:p w:rsidR="00006A76" w:rsidRPr="00006A76" w:rsidRDefault="00006A76" w:rsidP="00006A76">
            <w:pPr>
              <w:rPr>
                <w:rFonts w:ascii="Arial" w:hAnsi="Arial" w:cs="Arial"/>
                <w:color w:val="000000"/>
                <w:sz w:val="22"/>
                <w:szCs w:val="22"/>
              </w:rPr>
            </w:pPr>
          </w:p>
        </w:tc>
      </w:tr>
      <w:tr w:rsidR="00006A76" w:rsidRPr="00006A76" w:rsidTr="00006A76">
        <w:trPr>
          <w:gridBefore w:val="1"/>
          <w:wBefore w:w="108" w:type="dxa"/>
          <w:trHeight w:val="225"/>
        </w:trPr>
        <w:tc>
          <w:tcPr>
            <w:tcW w:w="222"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251" w:type="dxa"/>
            <w:tcBorders>
              <w:top w:val="nil"/>
              <w:left w:val="nil"/>
              <w:bottom w:val="nil"/>
              <w:right w:val="nil"/>
            </w:tcBorders>
            <w:shd w:val="clear" w:color="auto" w:fill="auto"/>
            <w:hideMark/>
          </w:tcPr>
          <w:p w:rsidR="00006A76" w:rsidRPr="00006A76" w:rsidRDefault="00006A76" w:rsidP="00006A76">
            <w:pPr>
              <w:rPr>
                <w:sz w:val="20"/>
                <w:szCs w:val="20"/>
              </w:rPr>
            </w:pPr>
          </w:p>
        </w:tc>
        <w:tc>
          <w:tcPr>
            <w:tcW w:w="1390"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657"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837"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1284"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c>
          <w:tcPr>
            <w:tcW w:w="728" w:type="dxa"/>
            <w:gridSpan w:val="2"/>
            <w:tcBorders>
              <w:top w:val="nil"/>
              <w:left w:val="nil"/>
              <w:bottom w:val="nil"/>
              <w:right w:val="nil"/>
            </w:tcBorders>
            <w:shd w:val="clear" w:color="auto" w:fill="auto"/>
            <w:hideMark/>
          </w:tcPr>
          <w:p w:rsidR="00006A76" w:rsidRPr="00006A76" w:rsidRDefault="00006A76" w:rsidP="00006A76">
            <w:pPr>
              <w:rPr>
                <w:sz w:val="20"/>
                <w:szCs w:val="20"/>
              </w:rPr>
            </w:pPr>
          </w:p>
        </w:tc>
      </w:tr>
      <w:tr w:rsidR="00006A76" w:rsidRPr="00006A76" w:rsidTr="00006A76">
        <w:trPr>
          <w:gridBefore w:val="1"/>
          <w:wBefore w:w="108" w:type="dxa"/>
          <w:trHeight w:val="750"/>
        </w:trPr>
        <w:tc>
          <w:tcPr>
            <w:tcW w:w="10800" w:type="dxa"/>
            <w:gridSpan w:val="15"/>
            <w:tcBorders>
              <w:top w:val="nil"/>
              <w:left w:val="nil"/>
              <w:bottom w:val="nil"/>
              <w:right w:val="nil"/>
            </w:tcBorders>
            <w:shd w:val="clear" w:color="auto" w:fill="auto"/>
            <w:hideMark/>
          </w:tcPr>
          <w:p w:rsidR="00006A76" w:rsidRPr="00006A76" w:rsidRDefault="00006A76" w:rsidP="00006A76">
            <w:pPr>
              <w:rPr>
                <w:rFonts w:ascii="Wingdings" w:hAnsi="Wingdings" w:cs="Arial"/>
                <w:color w:val="000000"/>
              </w:rPr>
            </w:pPr>
            <w:r w:rsidRPr="00006A76">
              <w:rPr>
                <w:rFonts w:ascii="Wingdings" w:hAnsi="Wingdings" w:cs="Arial"/>
                <w:color w:val="000000"/>
              </w:rPr>
              <w:t></w:t>
            </w:r>
            <w:r w:rsidRPr="00006A76">
              <w:rPr>
                <w:b/>
                <w:bCs/>
                <w:color w:val="000000"/>
              </w:rPr>
              <w:t xml:space="preserve">Accounts Payable - </w:t>
            </w:r>
            <w:r w:rsidRPr="00006A76">
              <w:rPr>
                <w:rFonts w:ascii="Calibri" w:hAnsi="Calibri" w:cs="Arial"/>
                <w:color w:val="000000"/>
              </w:rPr>
              <w:t>At October 31, 2016, accounts payable lability is $38,043 and all AP liability is being paid timely within 28 days except CSP Clinical Services which gets paid once NYS pays CCCHC. The following is a list of vendors who</w:t>
            </w:r>
            <w:r>
              <w:rPr>
                <w:rFonts w:ascii="Calibri" w:hAnsi="Calibri" w:cs="Arial"/>
                <w:color w:val="000000"/>
              </w:rPr>
              <w:t>se</w:t>
            </w:r>
            <w:r w:rsidRPr="00006A76">
              <w:rPr>
                <w:rFonts w:ascii="Calibri" w:hAnsi="Calibri" w:cs="Arial"/>
                <w:color w:val="000000"/>
              </w:rPr>
              <w:t xml:space="preserve"> liability exceed $1,000. </w:t>
            </w: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rFonts w:ascii="Wingdings" w:hAnsi="Wingdings" w:cs="Arial"/>
                <w:color w:val="00000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American Lung Association</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 xml:space="preserve"> </w:t>
            </w:r>
            <w:r>
              <w:rPr>
                <w:color w:val="000000"/>
              </w:rPr>
              <w:t xml:space="preserve">           </w:t>
            </w:r>
            <w:r w:rsidRPr="00006A76">
              <w:rPr>
                <w:color w:val="000000"/>
              </w:rPr>
              <w:t xml:space="preserve">$7,975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Statewide Advertising-Tobacco</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Johnson Newspaper</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 xml:space="preserve">                  3,000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Cancer Awareness Advertising-CSP</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Matt's Signs</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 xml:space="preserve">                  2,972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No Smoking Signs - Tobacco</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Columbia County </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 xml:space="preserve">                  2,060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Vehicle Fuel, Lease Paymt &amp; Repairs</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Golub Corp/Price Chopper</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 xml:space="preserve">                  1,207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Rx Prescriptions</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Manpower</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 xml:space="preserve">                  1,005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Temporary Worker: Receptionist</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15"/>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noWrap/>
            <w:vAlign w:val="bottom"/>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Various Medical Providers</w:t>
            </w:r>
          </w:p>
        </w:tc>
        <w:tc>
          <w:tcPr>
            <w:tcW w:w="1657"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 xml:space="preserve">                11,549 </w:t>
            </w:r>
          </w:p>
        </w:tc>
        <w:tc>
          <w:tcPr>
            <w:tcW w:w="3121" w:type="dxa"/>
            <w:gridSpan w:val="4"/>
            <w:tcBorders>
              <w:top w:val="nil"/>
              <w:left w:val="nil"/>
              <w:bottom w:val="nil"/>
              <w:right w:val="nil"/>
            </w:tcBorders>
            <w:shd w:val="clear" w:color="auto" w:fill="auto"/>
            <w:noWrap/>
            <w:vAlign w:val="bottom"/>
            <w:hideMark/>
          </w:tcPr>
          <w:p w:rsidR="00006A76" w:rsidRPr="00006A76" w:rsidRDefault="00006A76" w:rsidP="00006A76">
            <w:pPr>
              <w:jc w:val="center"/>
              <w:rPr>
                <w:rFonts w:ascii="Arial" w:hAnsi="Arial" w:cs="Arial"/>
                <w:color w:val="000000"/>
                <w:sz w:val="22"/>
                <w:szCs w:val="22"/>
              </w:rPr>
            </w:pPr>
            <w:r w:rsidRPr="00006A76">
              <w:rPr>
                <w:rFonts w:ascii="Arial" w:hAnsi="Arial" w:cs="Arial"/>
                <w:color w:val="000000"/>
                <w:sz w:val="22"/>
                <w:szCs w:val="22"/>
              </w:rPr>
              <w:t>CSP Clinical Serices-Aug-Oct'16</w:t>
            </w: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jc w:val="center"/>
              <w:rPr>
                <w:rFonts w:ascii="Arial" w:hAnsi="Arial" w:cs="Arial"/>
                <w:color w:val="000000"/>
                <w:sz w:val="22"/>
                <w:szCs w:val="22"/>
              </w:rPr>
            </w:pPr>
          </w:p>
        </w:tc>
      </w:tr>
      <w:tr w:rsidR="00006A76" w:rsidRPr="00006A76" w:rsidTr="00006A76">
        <w:trPr>
          <w:gridAfter w:val="1"/>
          <w:wAfter w:w="108" w:type="dxa"/>
          <w:trHeight w:val="330"/>
        </w:trPr>
        <w:tc>
          <w:tcPr>
            <w:tcW w:w="222"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431"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2641" w:type="dxa"/>
            <w:gridSpan w:val="3"/>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Total AP from Above </w:t>
            </w:r>
          </w:p>
        </w:tc>
        <w:tc>
          <w:tcPr>
            <w:tcW w:w="1657" w:type="dxa"/>
            <w:gridSpan w:val="2"/>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rPr>
                <w:color w:val="000000"/>
              </w:rPr>
            </w:pPr>
            <w:r w:rsidRPr="00006A76">
              <w:rPr>
                <w:color w:val="000000"/>
              </w:rPr>
              <w:t xml:space="preserve"> </w:t>
            </w:r>
            <w:r>
              <w:rPr>
                <w:color w:val="000000"/>
              </w:rPr>
              <w:t xml:space="preserve">          </w:t>
            </w:r>
            <w:r w:rsidRPr="00006A76">
              <w:rPr>
                <w:color w:val="000000"/>
              </w:rPr>
              <w:t xml:space="preserve">$29,768 </w:t>
            </w:r>
          </w:p>
        </w:tc>
        <w:tc>
          <w:tcPr>
            <w:tcW w:w="1837"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p>
        </w:tc>
        <w:tc>
          <w:tcPr>
            <w:tcW w:w="1284"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728" w:type="dxa"/>
            <w:gridSpan w:val="2"/>
            <w:tcBorders>
              <w:top w:val="nil"/>
              <w:left w:val="nil"/>
              <w:bottom w:val="nil"/>
              <w:right w:val="nil"/>
            </w:tcBorders>
            <w:shd w:val="clear" w:color="auto" w:fill="auto"/>
            <w:vAlign w:val="center"/>
            <w:hideMark/>
          </w:tcPr>
          <w:p w:rsidR="00006A76" w:rsidRPr="00006A76" w:rsidRDefault="00006A76" w:rsidP="00006A76">
            <w:pPr>
              <w:rPr>
                <w:sz w:val="20"/>
                <w:szCs w:val="20"/>
              </w:rPr>
            </w:pPr>
          </w:p>
        </w:tc>
      </w:tr>
    </w:tbl>
    <w:p w:rsidR="00006A76" w:rsidRDefault="00006A76">
      <w:r>
        <w:br w:type="page"/>
      </w:r>
    </w:p>
    <w:tbl>
      <w:tblPr>
        <w:tblW w:w="10800" w:type="dxa"/>
        <w:tblLook w:val="04A0" w:firstRow="1" w:lastRow="0" w:firstColumn="1" w:lastColumn="0" w:noHBand="0" w:noVBand="1"/>
      </w:tblPr>
      <w:tblGrid>
        <w:gridCol w:w="222"/>
        <w:gridCol w:w="2431"/>
        <w:gridCol w:w="1251"/>
        <w:gridCol w:w="1390"/>
        <w:gridCol w:w="1657"/>
        <w:gridCol w:w="1837"/>
        <w:gridCol w:w="1284"/>
        <w:gridCol w:w="728"/>
      </w:tblGrid>
      <w:tr w:rsidR="00006A76" w:rsidRPr="00006A76" w:rsidTr="00006A76">
        <w:trPr>
          <w:trHeight w:val="450"/>
        </w:trPr>
        <w:tc>
          <w:tcPr>
            <w:tcW w:w="10800" w:type="dxa"/>
            <w:gridSpan w:val="8"/>
            <w:tcBorders>
              <w:top w:val="nil"/>
              <w:left w:val="nil"/>
              <w:bottom w:val="nil"/>
              <w:right w:val="nil"/>
            </w:tcBorders>
            <w:shd w:val="clear" w:color="auto" w:fill="auto"/>
            <w:vAlign w:val="bottom"/>
            <w:hideMark/>
          </w:tcPr>
          <w:p w:rsidR="00006A76" w:rsidRPr="00006A76" w:rsidRDefault="00006A76" w:rsidP="00006A76">
            <w:pPr>
              <w:rPr>
                <w:rFonts w:ascii="Wingdings" w:hAnsi="Wingdings" w:cs="Arial"/>
                <w:color w:val="000000"/>
              </w:rPr>
            </w:pPr>
            <w:r w:rsidRPr="00006A76">
              <w:rPr>
                <w:rFonts w:ascii="Wingdings" w:hAnsi="Wingdings" w:cs="Arial"/>
                <w:color w:val="000000"/>
              </w:rPr>
              <w:lastRenderedPageBreak/>
              <w:t></w:t>
            </w:r>
            <w:r w:rsidRPr="00006A76">
              <w:rPr>
                <w:color w:val="000000"/>
              </w:rPr>
              <w:t xml:space="preserve"> </w:t>
            </w:r>
            <w:r w:rsidRPr="00006A76">
              <w:rPr>
                <w:rFonts w:ascii="Calibri" w:hAnsi="Calibri" w:cs="Arial"/>
                <w:b/>
                <w:bCs/>
                <w:color w:val="000000"/>
              </w:rPr>
              <w:t>Advance Funding Payable</w:t>
            </w:r>
            <w:r w:rsidRPr="00006A76">
              <w:rPr>
                <w:rFonts w:ascii="Calibri" w:hAnsi="Calibri" w:cs="Arial"/>
                <w:color w:val="000000"/>
              </w:rPr>
              <w:t xml:space="preserve"> - Activity for the ten months ending October 31, 2016.</w:t>
            </w:r>
          </w:p>
        </w:tc>
      </w:tr>
      <w:tr w:rsidR="00006A76" w:rsidRPr="00006A76" w:rsidTr="00006A76">
        <w:trPr>
          <w:trHeight w:val="945"/>
        </w:trPr>
        <w:tc>
          <w:tcPr>
            <w:tcW w:w="222" w:type="dxa"/>
            <w:tcBorders>
              <w:top w:val="nil"/>
              <w:left w:val="nil"/>
              <w:bottom w:val="nil"/>
              <w:right w:val="nil"/>
            </w:tcBorders>
            <w:shd w:val="clear" w:color="auto" w:fill="auto"/>
            <w:vAlign w:val="center"/>
            <w:hideMark/>
          </w:tcPr>
          <w:p w:rsidR="00006A76" w:rsidRPr="00006A76" w:rsidRDefault="00006A76" w:rsidP="00006A76">
            <w:pPr>
              <w:rPr>
                <w:rFonts w:ascii="Wingdings" w:hAnsi="Wingdings" w:cs="Arial"/>
                <w:color w:val="00000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Fund Name</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 xml:space="preserve">Beginning Balance at January 1st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 Contributions</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&lt;Distributions&gt;</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 xml:space="preserve">Ending Balance at October 31, 2016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5072" w:type="dxa"/>
            <w:gridSpan w:val="3"/>
            <w:tcBorders>
              <w:top w:val="nil"/>
              <w:left w:val="nil"/>
              <w:bottom w:val="nil"/>
              <w:right w:val="nil"/>
            </w:tcBorders>
            <w:shd w:val="clear" w:color="auto" w:fill="auto"/>
            <w:vAlign w:val="center"/>
            <w:hideMark/>
          </w:tcPr>
          <w:p w:rsidR="00006A76" w:rsidRPr="00006A76" w:rsidRDefault="00006A76" w:rsidP="00006A76">
            <w:pPr>
              <w:rPr>
                <w:b/>
                <w:bCs/>
                <w:color w:val="000000"/>
              </w:rPr>
            </w:pPr>
            <w:r w:rsidRPr="00006A76">
              <w:rPr>
                <w:b/>
                <w:bCs/>
                <w:color w:val="000000"/>
              </w:rPr>
              <w:t>Foundation for Community Health</w:t>
            </w:r>
          </w:p>
        </w:tc>
        <w:tc>
          <w:tcPr>
            <w:tcW w:w="1657" w:type="dxa"/>
            <w:tcBorders>
              <w:top w:val="nil"/>
              <w:left w:val="nil"/>
              <w:bottom w:val="nil"/>
              <w:right w:val="nil"/>
            </w:tcBorders>
            <w:shd w:val="clear" w:color="auto" w:fill="auto"/>
            <w:vAlign w:val="center"/>
            <w:hideMark/>
          </w:tcPr>
          <w:p w:rsidR="00006A76" w:rsidRPr="00006A76" w:rsidRDefault="00006A76" w:rsidP="00006A76">
            <w:pPr>
              <w:rPr>
                <w:b/>
                <w:bCs/>
                <w:color w:val="00000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ind w:firstLineChars="200" w:firstLine="480"/>
              <w:rPr>
                <w:color w:val="000000"/>
              </w:rPr>
            </w:pPr>
            <w:r w:rsidRPr="00006A76">
              <w:rPr>
                <w:color w:val="000000"/>
              </w:rPr>
              <w:t>Prescription Rx Access</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10,445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7,125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(4,579)</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12,991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ind w:firstLineChars="200" w:firstLine="480"/>
              <w:rPr>
                <w:color w:val="000000"/>
              </w:rPr>
            </w:pPr>
            <w:r w:rsidRPr="00006A76">
              <w:rPr>
                <w:color w:val="000000"/>
              </w:rPr>
              <w:t>Transportation: Acram/Copake</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25,000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(19,880)</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5,120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ind w:firstLineChars="200" w:firstLine="480"/>
              <w:rPr>
                <w:color w:val="000000"/>
              </w:rPr>
            </w:pPr>
            <w:r w:rsidRPr="00006A76">
              <w:rPr>
                <w:color w:val="000000"/>
              </w:rPr>
              <w:t>Children's Mental Health Project</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20,238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(17,263)</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2,975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b/>
                <w:bCs/>
                <w:color w:val="000000"/>
              </w:rPr>
            </w:pPr>
            <w:r w:rsidRPr="00006A76">
              <w:rPr>
                <w:b/>
                <w:bCs/>
                <w:color w:val="000000"/>
              </w:rPr>
              <w:t>Dyson Foundation</w:t>
            </w:r>
          </w:p>
        </w:tc>
        <w:tc>
          <w:tcPr>
            <w:tcW w:w="1390" w:type="dxa"/>
            <w:tcBorders>
              <w:top w:val="nil"/>
              <w:left w:val="nil"/>
              <w:bottom w:val="nil"/>
              <w:right w:val="nil"/>
            </w:tcBorders>
            <w:shd w:val="clear" w:color="auto" w:fill="auto"/>
            <w:vAlign w:val="center"/>
            <w:hideMark/>
          </w:tcPr>
          <w:p w:rsidR="00006A76" w:rsidRPr="00006A76" w:rsidRDefault="00006A76" w:rsidP="00006A76">
            <w:pPr>
              <w:rPr>
                <w:b/>
                <w:bCs/>
                <w:color w:val="000000"/>
              </w:rPr>
            </w:pP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ind w:firstLineChars="200" w:firstLine="480"/>
              <w:rPr>
                <w:color w:val="000000"/>
              </w:rPr>
            </w:pPr>
            <w:r w:rsidRPr="00006A76">
              <w:rPr>
                <w:color w:val="000000"/>
              </w:rPr>
              <w:t>Prescription Rx Access</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25,000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(21,971)</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3,029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b/>
                <w:bCs/>
                <w:color w:val="000000"/>
              </w:rPr>
            </w:pPr>
            <w:r w:rsidRPr="00006A76">
              <w:rPr>
                <w:b/>
                <w:bCs/>
                <w:color w:val="000000"/>
              </w:rPr>
              <w:t>NYS Grant Advances</w:t>
            </w:r>
          </w:p>
        </w:tc>
        <w:tc>
          <w:tcPr>
            <w:tcW w:w="1390" w:type="dxa"/>
            <w:tcBorders>
              <w:top w:val="nil"/>
              <w:left w:val="nil"/>
              <w:bottom w:val="nil"/>
              <w:right w:val="nil"/>
            </w:tcBorders>
            <w:shd w:val="clear" w:color="auto" w:fill="auto"/>
            <w:vAlign w:val="center"/>
            <w:hideMark/>
          </w:tcPr>
          <w:p w:rsidR="00006A76" w:rsidRPr="00006A76" w:rsidRDefault="00006A76" w:rsidP="00006A76">
            <w:pPr>
              <w:rPr>
                <w:b/>
                <w:bCs/>
                <w:color w:val="000000"/>
              </w:rPr>
            </w:pP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ind w:firstLineChars="200" w:firstLine="480"/>
              <w:rPr>
                <w:color w:val="000000"/>
              </w:rPr>
            </w:pPr>
            <w:r w:rsidRPr="00006A76">
              <w:rPr>
                <w:color w:val="000000"/>
              </w:rPr>
              <w:t>Cancer Services Program</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5,060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35,000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(25,924)</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14,136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ind w:firstLineChars="200" w:firstLine="480"/>
              <w:rPr>
                <w:color w:val="000000"/>
              </w:rPr>
            </w:pPr>
            <w:r w:rsidRPr="00006A76">
              <w:rPr>
                <w:color w:val="000000"/>
              </w:rPr>
              <w:t>Tobacco Free Program</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40,565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79,750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(64,528)</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55,788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Health &amp; Recovery Plan (HCBS - HARP)</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49,850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49,850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jc w:val="right"/>
              <w:rPr>
                <w:b/>
                <w:bCs/>
                <w:color w:val="000000"/>
              </w:rPr>
            </w:pPr>
            <w:r w:rsidRPr="00006A76">
              <w:rPr>
                <w:b/>
                <w:bCs/>
                <w:color w:val="000000"/>
              </w:rPr>
              <w:t>Total Advance Funding Payable</w:t>
            </w:r>
          </w:p>
        </w:tc>
        <w:tc>
          <w:tcPr>
            <w:tcW w:w="1390"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$76,308 </w:t>
            </w:r>
          </w:p>
        </w:tc>
        <w:tc>
          <w:tcPr>
            <w:tcW w:w="1657"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$221,725 </w:t>
            </w:r>
          </w:p>
        </w:tc>
        <w:tc>
          <w:tcPr>
            <w:tcW w:w="1837"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$(154,146)</w:t>
            </w:r>
          </w:p>
        </w:tc>
        <w:tc>
          <w:tcPr>
            <w:tcW w:w="1284"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$143,887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22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2431"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251" w:type="dxa"/>
            <w:tcBorders>
              <w:top w:val="nil"/>
              <w:left w:val="nil"/>
              <w:bottom w:val="nil"/>
              <w:right w:val="nil"/>
            </w:tcBorders>
            <w:shd w:val="clear" w:color="auto" w:fill="auto"/>
            <w:vAlign w:val="center"/>
            <w:hideMark/>
          </w:tcPr>
          <w:p w:rsidR="00006A76" w:rsidRPr="00006A76" w:rsidRDefault="00006A76" w:rsidP="00006A76">
            <w:pPr>
              <w:jc w:val="right"/>
              <w:rPr>
                <w:sz w:val="20"/>
                <w:szCs w:val="20"/>
              </w:rPr>
            </w:pPr>
          </w:p>
        </w:tc>
        <w:tc>
          <w:tcPr>
            <w:tcW w:w="1390" w:type="dxa"/>
            <w:tcBorders>
              <w:top w:val="nil"/>
              <w:left w:val="nil"/>
              <w:bottom w:val="nil"/>
              <w:right w:val="nil"/>
            </w:tcBorders>
            <w:shd w:val="clear" w:color="auto" w:fill="auto"/>
            <w:vAlign w:val="center"/>
            <w:hideMark/>
          </w:tcPr>
          <w:p w:rsidR="00006A76" w:rsidRPr="00006A76" w:rsidRDefault="00006A76" w:rsidP="00006A76">
            <w:pPr>
              <w:jc w:val="right"/>
              <w:rPr>
                <w:sz w:val="20"/>
                <w:szCs w:val="20"/>
              </w:rPr>
            </w:pP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r>
      <w:tr w:rsidR="00006A76" w:rsidRPr="00006A76" w:rsidTr="00006A76">
        <w:trPr>
          <w:trHeight w:val="435"/>
        </w:trPr>
        <w:tc>
          <w:tcPr>
            <w:tcW w:w="10800" w:type="dxa"/>
            <w:gridSpan w:val="8"/>
            <w:tcBorders>
              <w:top w:val="nil"/>
              <w:left w:val="nil"/>
              <w:bottom w:val="nil"/>
              <w:right w:val="nil"/>
            </w:tcBorders>
            <w:shd w:val="clear" w:color="auto" w:fill="auto"/>
            <w:vAlign w:val="bottom"/>
            <w:hideMark/>
          </w:tcPr>
          <w:p w:rsidR="00006A76" w:rsidRPr="00006A76" w:rsidRDefault="00006A76" w:rsidP="00006A76">
            <w:pPr>
              <w:rPr>
                <w:rFonts w:ascii="Wingdings" w:hAnsi="Wingdings" w:cs="Arial"/>
                <w:color w:val="000000"/>
              </w:rPr>
            </w:pPr>
            <w:r w:rsidRPr="00006A76">
              <w:rPr>
                <w:rFonts w:ascii="Wingdings" w:hAnsi="Wingdings" w:cs="Arial"/>
                <w:color w:val="000000"/>
              </w:rPr>
              <w:t></w:t>
            </w:r>
            <w:r w:rsidRPr="00006A76">
              <w:rPr>
                <w:color w:val="000000"/>
              </w:rPr>
              <w:t xml:space="preserve"> </w:t>
            </w:r>
            <w:r w:rsidRPr="00006A76">
              <w:rPr>
                <w:rFonts w:ascii="Calibri" w:hAnsi="Calibri" w:cs="Arial"/>
                <w:b/>
                <w:bCs/>
                <w:color w:val="000000"/>
              </w:rPr>
              <w:t>Temporary Restricted Funds</w:t>
            </w:r>
            <w:r w:rsidRPr="00006A76">
              <w:rPr>
                <w:rFonts w:ascii="Calibri" w:hAnsi="Calibri" w:cs="Arial"/>
                <w:color w:val="000000"/>
              </w:rPr>
              <w:t xml:space="preserve"> - Activity for the ten months ending October 31, 2016,</w:t>
            </w:r>
          </w:p>
        </w:tc>
      </w:tr>
      <w:tr w:rsidR="00006A76" w:rsidRPr="00006A76" w:rsidTr="00006A76">
        <w:trPr>
          <w:trHeight w:val="945"/>
        </w:trPr>
        <w:tc>
          <w:tcPr>
            <w:tcW w:w="222" w:type="dxa"/>
            <w:tcBorders>
              <w:top w:val="nil"/>
              <w:left w:val="nil"/>
              <w:bottom w:val="nil"/>
              <w:right w:val="nil"/>
            </w:tcBorders>
            <w:shd w:val="clear" w:color="auto" w:fill="auto"/>
            <w:vAlign w:val="center"/>
            <w:hideMark/>
          </w:tcPr>
          <w:p w:rsidR="00006A76" w:rsidRPr="00006A76" w:rsidRDefault="00006A76" w:rsidP="00006A76">
            <w:pPr>
              <w:rPr>
                <w:rFonts w:ascii="Wingdings" w:hAnsi="Wingdings" w:cs="Arial"/>
                <w:color w:val="00000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Fund Name</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 xml:space="preserve">Beginning Balance at January 1st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 Contributions</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&lt;Distributions&gt;</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r w:rsidRPr="00006A76">
              <w:rPr>
                <w:b/>
                <w:bCs/>
                <w:color w:val="000000"/>
              </w:rPr>
              <w:t xml:space="preserve">Ending Balance at October 31, 2016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b/>
                <w:bCs/>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Columbia County</w:t>
            </w:r>
            <w:r w:rsidRPr="00006A76">
              <w:rPr>
                <w:color w:val="000000"/>
                <w:sz w:val="22"/>
                <w:szCs w:val="22"/>
              </w:rPr>
              <w:t xml:space="preserve"> -</w:t>
            </w:r>
            <w:r w:rsidRPr="00006A76">
              <w:rPr>
                <w:color w:val="000000"/>
                <w:sz w:val="18"/>
                <w:szCs w:val="18"/>
              </w:rPr>
              <w:t>CARTS &amp; Receptionist</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49,000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(40,833)</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8,167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Columbia County Depts.-CARTS</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19,000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(15,833)</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3,167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Columbia County Cancer Fund</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11,831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3,681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(9,473)</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6,039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Greene County Cancer Fund</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8,690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3,478 </w:t>
            </w: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(3,077)</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9,091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Complementary Therapies</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6,955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(1,100)</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5,855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Jan Koweek Fund</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901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901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rPr>
                <w:color w:val="000000"/>
              </w:rPr>
            </w:pPr>
            <w:r w:rsidRPr="00006A76">
              <w:rPr>
                <w:color w:val="000000"/>
              </w:rPr>
              <w:t>Galvan Foundation-Bengali Project</w:t>
            </w:r>
          </w:p>
        </w:tc>
        <w:tc>
          <w:tcPr>
            <w:tcW w:w="1390"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10,470 </w:t>
            </w:r>
          </w:p>
        </w:tc>
        <w:tc>
          <w:tcPr>
            <w:tcW w:w="165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c>
          <w:tcPr>
            <w:tcW w:w="1837"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(6,686)</w:t>
            </w:r>
          </w:p>
        </w:tc>
        <w:tc>
          <w:tcPr>
            <w:tcW w:w="1284"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3,784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15"/>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3682" w:type="dxa"/>
            <w:gridSpan w:val="2"/>
            <w:tcBorders>
              <w:top w:val="nil"/>
              <w:left w:val="nil"/>
              <w:bottom w:val="nil"/>
              <w:right w:val="nil"/>
            </w:tcBorders>
            <w:shd w:val="clear" w:color="auto" w:fill="auto"/>
            <w:vAlign w:val="center"/>
            <w:hideMark/>
          </w:tcPr>
          <w:p w:rsidR="00006A76" w:rsidRPr="00006A76" w:rsidRDefault="00006A76" w:rsidP="00006A76">
            <w:pPr>
              <w:jc w:val="right"/>
              <w:rPr>
                <w:color w:val="000000"/>
              </w:rPr>
            </w:pPr>
            <w:r w:rsidRPr="00006A76">
              <w:rPr>
                <w:color w:val="000000"/>
              </w:rPr>
              <w:t>Totals of Temporary Restricted Funds</w:t>
            </w:r>
          </w:p>
        </w:tc>
        <w:tc>
          <w:tcPr>
            <w:tcW w:w="1390"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$38,847 </w:t>
            </w:r>
          </w:p>
        </w:tc>
        <w:tc>
          <w:tcPr>
            <w:tcW w:w="1657"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$75,159 </w:t>
            </w:r>
          </w:p>
        </w:tc>
        <w:tc>
          <w:tcPr>
            <w:tcW w:w="1837"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$(77,003)</w:t>
            </w:r>
          </w:p>
        </w:tc>
        <w:tc>
          <w:tcPr>
            <w:tcW w:w="1284" w:type="dxa"/>
            <w:tcBorders>
              <w:top w:val="single" w:sz="4" w:space="0" w:color="auto"/>
              <w:left w:val="nil"/>
              <w:bottom w:val="double" w:sz="6" w:space="0" w:color="auto"/>
              <w:right w:val="nil"/>
            </w:tcBorders>
            <w:shd w:val="clear" w:color="auto" w:fill="auto"/>
            <w:vAlign w:val="center"/>
            <w:hideMark/>
          </w:tcPr>
          <w:p w:rsidR="00006A76" w:rsidRPr="00006A76" w:rsidRDefault="00006A76" w:rsidP="00006A76">
            <w:pPr>
              <w:jc w:val="center"/>
              <w:rPr>
                <w:color w:val="000000"/>
              </w:rPr>
            </w:pPr>
            <w:r w:rsidRPr="00006A76">
              <w:rPr>
                <w:color w:val="000000"/>
              </w:rPr>
              <w:t xml:space="preserve"> $37,003 </w:t>
            </w:r>
          </w:p>
        </w:tc>
        <w:tc>
          <w:tcPr>
            <w:tcW w:w="728" w:type="dxa"/>
            <w:tcBorders>
              <w:top w:val="nil"/>
              <w:left w:val="nil"/>
              <w:bottom w:val="nil"/>
              <w:right w:val="nil"/>
            </w:tcBorders>
            <w:shd w:val="clear" w:color="auto" w:fill="auto"/>
            <w:vAlign w:val="center"/>
            <w:hideMark/>
          </w:tcPr>
          <w:p w:rsidR="00006A76" w:rsidRPr="00006A76" w:rsidRDefault="00006A76" w:rsidP="00006A76">
            <w:pPr>
              <w:jc w:val="center"/>
              <w:rPr>
                <w:color w:val="000000"/>
              </w:rPr>
            </w:pPr>
          </w:p>
        </w:tc>
      </w:tr>
      <w:tr w:rsidR="00006A76" w:rsidRPr="00006A76" w:rsidTr="00006A76">
        <w:trPr>
          <w:trHeight w:val="330"/>
        </w:trPr>
        <w:tc>
          <w:tcPr>
            <w:tcW w:w="222" w:type="dxa"/>
            <w:tcBorders>
              <w:top w:val="nil"/>
              <w:left w:val="nil"/>
              <w:bottom w:val="nil"/>
              <w:right w:val="nil"/>
            </w:tcBorders>
            <w:shd w:val="clear" w:color="auto" w:fill="auto"/>
            <w:vAlign w:val="center"/>
            <w:hideMark/>
          </w:tcPr>
          <w:p w:rsidR="00006A76" w:rsidRPr="00006A76" w:rsidRDefault="00006A76" w:rsidP="00006A76">
            <w:pPr>
              <w:jc w:val="center"/>
              <w:rPr>
                <w:sz w:val="20"/>
                <w:szCs w:val="20"/>
              </w:rPr>
            </w:pPr>
          </w:p>
        </w:tc>
        <w:tc>
          <w:tcPr>
            <w:tcW w:w="2431"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1251"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1390"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1657"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1837"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1284"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c>
          <w:tcPr>
            <w:tcW w:w="728" w:type="dxa"/>
            <w:tcBorders>
              <w:top w:val="nil"/>
              <w:left w:val="nil"/>
              <w:bottom w:val="nil"/>
              <w:right w:val="nil"/>
            </w:tcBorders>
            <w:shd w:val="clear" w:color="auto" w:fill="auto"/>
            <w:vAlign w:val="center"/>
            <w:hideMark/>
          </w:tcPr>
          <w:p w:rsidR="00006A76" w:rsidRPr="00006A76" w:rsidRDefault="00006A76" w:rsidP="00006A76">
            <w:pPr>
              <w:rPr>
                <w:sz w:val="20"/>
                <w:szCs w:val="20"/>
              </w:rPr>
            </w:pPr>
          </w:p>
        </w:tc>
      </w:tr>
    </w:tbl>
    <w:p w:rsidR="00385B16" w:rsidRPr="00990131" w:rsidRDefault="00385B16" w:rsidP="00990131"/>
    <w:sectPr w:rsidR="00385B16" w:rsidRPr="00990131" w:rsidSect="00990131">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E81" w:rsidRDefault="00F10E81" w:rsidP="00A96EC7">
      <w:r>
        <w:separator/>
      </w:r>
    </w:p>
  </w:endnote>
  <w:endnote w:type="continuationSeparator" w:id="0">
    <w:p w:rsidR="00F10E81" w:rsidRDefault="00F10E81"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E81" w:rsidRDefault="00F10E81" w:rsidP="00A96EC7">
      <w:r>
        <w:separator/>
      </w:r>
    </w:p>
  </w:footnote>
  <w:footnote w:type="continuationSeparator" w:id="0">
    <w:p w:rsidR="00F10E81" w:rsidRDefault="00F10E81"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8"/>
  </w:num>
  <w:num w:numId="6">
    <w:abstractNumId w:val="9"/>
  </w:num>
  <w:num w:numId="7">
    <w:abstractNumId w:val="7"/>
  </w:num>
  <w:num w:numId="8">
    <w:abstractNumId w:val="6"/>
  </w:num>
  <w:num w:numId="9">
    <w:abstractNumId w:val="15"/>
  </w:num>
  <w:num w:numId="10">
    <w:abstractNumId w:val="11"/>
  </w:num>
  <w:num w:numId="11">
    <w:abstractNumId w:val="10"/>
  </w:num>
  <w:num w:numId="12">
    <w:abstractNumId w:val="14"/>
  </w:num>
  <w:num w:numId="13">
    <w:abstractNumId w:val="13"/>
  </w:num>
  <w:num w:numId="14">
    <w:abstractNumId w:val="1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62538"/>
    <w:rsid w:val="00064B5F"/>
    <w:rsid w:val="00071F28"/>
    <w:rsid w:val="00097F59"/>
    <w:rsid w:val="000A2D35"/>
    <w:rsid w:val="000B6DD7"/>
    <w:rsid w:val="000F0E3D"/>
    <w:rsid w:val="001274CB"/>
    <w:rsid w:val="00132B0A"/>
    <w:rsid w:val="001369A6"/>
    <w:rsid w:val="001515B8"/>
    <w:rsid w:val="001911CB"/>
    <w:rsid w:val="001E0050"/>
    <w:rsid w:val="001F64E2"/>
    <w:rsid w:val="00207444"/>
    <w:rsid w:val="00212943"/>
    <w:rsid w:val="002413F8"/>
    <w:rsid w:val="00247C27"/>
    <w:rsid w:val="00252DCF"/>
    <w:rsid w:val="002901B2"/>
    <w:rsid w:val="002A5029"/>
    <w:rsid w:val="002A5131"/>
    <w:rsid w:val="002C083B"/>
    <w:rsid w:val="002C0B80"/>
    <w:rsid w:val="002C4573"/>
    <w:rsid w:val="002E2F64"/>
    <w:rsid w:val="0030688B"/>
    <w:rsid w:val="00342789"/>
    <w:rsid w:val="00352709"/>
    <w:rsid w:val="003624D1"/>
    <w:rsid w:val="00385B16"/>
    <w:rsid w:val="003918B4"/>
    <w:rsid w:val="003F79C4"/>
    <w:rsid w:val="00412DDD"/>
    <w:rsid w:val="00421F8B"/>
    <w:rsid w:val="00475C88"/>
    <w:rsid w:val="004760AF"/>
    <w:rsid w:val="004A10B9"/>
    <w:rsid w:val="004C488F"/>
    <w:rsid w:val="004E0E27"/>
    <w:rsid w:val="004E41EF"/>
    <w:rsid w:val="004F7032"/>
    <w:rsid w:val="0050320B"/>
    <w:rsid w:val="00515E81"/>
    <w:rsid w:val="0055133D"/>
    <w:rsid w:val="00564F43"/>
    <w:rsid w:val="00575593"/>
    <w:rsid w:val="005A25ED"/>
    <w:rsid w:val="005B073F"/>
    <w:rsid w:val="005B4AC3"/>
    <w:rsid w:val="005C3C63"/>
    <w:rsid w:val="005C6D89"/>
    <w:rsid w:val="005D783D"/>
    <w:rsid w:val="005E7D1E"/>
    <w:rsid w:val="00601B1D"/>
    <w:rsid w:val="0061327C"/>
    <w:rsid w:val="0062335B"/>
    <w:rsid w:val="006472C0"/>
    <w:rsid w:val="00690525"/>
    <w:rsid w:val="006C7D2A"/>
    <w:rsid w:val="006D2E29"/>
    <w:rsid w:val="006D5967"/>
    <w:rsid w:val="0070203E"/>
    <w:rsid w:val="00742E9B"/>
    <w:rsid w:val="00746F3D"/>
    <w:rsid w:val="00752B9A"/>
    <w:rsid w:val="00796B31"/>
    <w:rsid w:val="007D77E8"/>
    <w:rsid w:val="007E15C2"/>
    <w:rsid w:val="007E43C8"/>
    <w:rsid w:val="00810247"/>
    <w:rsid w:val="00843353"/>
    <w:rsid w:val="00855300"/>
    <w:rsid w:val="008630E4"/>
    <w:rsid w:val="0088470F"/>
    <w:rsid w:val="008A2296"/>
    <w:rsid w:val="008F4187"/>
    <w:rsid w:val="009115A7"/>
    <w:rsid w:val="0091350F"/>
    <w:rsid w:val="0091567E"/>
    <w:rsid w:val="00921C0E"/>
    <w:rsid w:val="00941F5A"/>
    <w:rsid w:val="00943D31"/>
    <w:rsid w:val="00971B37"/>
    <w:rsid w:val="00990131"/>
    <w:rsid w:val="00990FBF"/>
    <w:rsid w:val="009C541E"/>
    <w:rsid w:val="009D18D2"/>
    <w:rsid w:val="00A02AD5"/>
    <w:rsid w:val="00A03133"/>
    <w:rsid w:val="00A176E2"/>
    <w:rsid w:val="00A17DE4"/>
    <w:rsid w:val="00A42B94"/>
    <w:rsid w:val="00A7348F"/>
    <w:rsid w:val="00A806B4"/>
    <w:rsid w:val="00A82A4A"/>
    <w:rsid w:val="00A96EC7"/>
    <w:rsid w:val="00AA4696"/>
    <w:rsid w:val="00AF0735"/>
    <w:rsid w:val="00B241BE"/>
    <w:rsid w:val="00B44232"/>
    <w:rsid w:val="00B50F4B"/>
    <w:rsid w:val="00B568C6"/>
    <w:rsid w:val="00B57C39"/>
    <w:rsid w:val="00B60BAB"/>
    <w:rsid w:val="00BE2FC7"/>
    <w:rsid w:val="00BE50D6"/>
    <w:rsid w:val="00BE76E2"/>
    <w:rsid w:val="00C14518"/>
    <w:rsid w:val="00C27C64"/>
    <w:rsid w:val="00C31650"/>
    <w:rsid w:val="00C50DA8"/>
    <w:rsid w:val="00C827EF"/>
    <w:rsid w:val="00C95C54"/>
    <w:rsid w:val="00CA7BEE"/>
    <w:rsid w:val="00CC293F"/>
    <w:rsid w:val="00CE1DBC"/>
    <w:rsid w:val="00D12FA2"/>
    <w:rsid w:val="00D14318"/>
    <w:rsid w:val="00D2044F"/>
    <w:rsid w:val="00D46062"/>
    <w:rsid w:val="00D70608"/>
    <w:rsid w:val="00D81AA6"/>
    <w:rsid w:val="00D94F56"/>
    <w:rsid w:val="00DA2F4A"/>
    <w:rsid w:val="00DA6950"/>
    <w:rsid w:val="00DB62FF"/>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OLNEB7MF\CCCHC%20Financial%20Report%2010%2031%202016%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OLNEB7MF\CCCHC%20Financial%20Report%2010%2031%202016%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42248</c:v>
                </c:pt>
                <c:pt idx="1">
                  <c:v>42278</c:v>
                </c:pt>
                <c:pt idx="2">
                  <c:v>42309</c:v>
                </c:pt>
                <c:pt idx="3">
                  <c:v>42339</c:v>
                </c:pt>
                <c:pt idx="4">
                  <c:v>42370</c:v>
                </c:pt>
                <c:pt idx="5">
                  <c:v>42401</c:v>
                </c:pt>
                <c:pt idx="6">
                  <c:v>42430</c:v>
                </c:pt>
                <c:pt idx="7">
                  <c:v>42461</c:v>
                </c:pt>
                <c:pt idx="8">
                  <c:v>42491</c:v>
                </c:pt>
                <c:pt idx="9">
                  <c:v>42522</c:v>
                </c:pt>
                <c:pt idx="10">
                  <c:v>42552</c:v>
                </c:pt>
                <c:pt idx="11">
                  <c:v>42583</c:v>
                </c:pt>
                <c:pt idx="12">
                  <c:v>42614</c:v>
                </c:pt>
                <c:pt idx="13">
                  <c:v>42644</c:v>
                </c:pt>
              </c:numCache>
            </c:numRef>
          </c:cat>
          <c:val>
            <c:numRef>
              <c:f>Data!$E$184:$E$197</c:f>
              <c:numCache>
                <c:formatCode>"$"#,##0_);[Red]\("$"#,##0\)</c:formatCode>
                <c:ptCount val="14"/>
                <c:pt idx="0">
                  <c:v>156700</c:v>
                </c:pt>
                <c:pt idx="1">
                  <c:v>224005.57</c:v>
                </c:pt>
                <c:pt idx="2">
                  <c:v>212998.66</c:v>
                </c:pt>
                <c:pt idx="3">
                  <c:v>256955.64</c:v>
                </c:pt>
                <c:pt idx="4">
                  <c:v>368765.26</c:v>
                </c:pt>
                <c:pt idx="5">
                  <c:v>294586.56</c:v>
                </c:pt>
                <c:pt idx="6">
                  <c:v>253840.62</c:v>
                </c:pt>
                <c:pt idx="7">
                  <c:v>293601.03999999998</c:v>
                </c:pt>
                <c:pt idx="8">
                  <c:v>333425.09999999998</c:v>
                </c:pt>
                <c:pt idx="9">
                  <c:v>376855.16</c:v>
                </c:pt>
                <c:pt idx="10">
                  <c:v>285263.78999999998</c:v>
                </c:pt>
                <c:pt idx="11">
                  <c:v>182437.83</c:v>
                </c:pt>
                <c:pt idx="12">
                  <c:v>229122.82</c:v>
                </c:pt>
                <c:pt idx="13">
                  <c:v>245497</c:v>
                </c:pt>
              </c:numCache>
            </c:numRef>
          </c:val>
        </c:ser>
        <c:dLbls>
          <c:showLegendKey val="0"/>
          <c:showVal val="0"/>
          <c:showCatName val="0"/>
          <c:showSerName val="0"/>
          <c:showPercent val="0"/>
          <c:showBubbleSize val="0"/>
        </c:dLbls>
        <c:gapWidth val="243"/>
        <c:overlap val="-83"/>
        <c:axId val="202663488"/>
        <c:axId val="202663880"/>
      </c:barChart>
      <c:dateAx>
        <c:axId val="20266348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63880"/>
        <c:crosses val="autoZero"/>
        <c:auto val="1"/>
        <c:lblOffset val="100"/>
        <c:baseTimeUnit val="months"/>
      </c:dateAx>
      <c:valAx>
        <c:axId val="20266388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63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Data!$A$4:$A$231</c:f>
              <c:numCache>
                <c:formatCode>m/d/yyyy</c:formatCode>
                <c:ptCount val="228"/>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formatCode="[$-F800]dddd\,\ mmmm\ dd\,\ yyyy">
                  <c:v>42544</c:v>
                </c:pt>
                <c:pt idx="125" formatCode="[$-F800]dddd\,\ mmmm\ dd\,\ yyyy">
                  <c:v>42545</c:v>
                </c:pt>
                <c:pt idx="126" formatCode="[$-F800]dddd\,\ mmmm\ dd\,\ yyyy">
                  <c:v>42548</c:v>
                </c:pt>
                <c:pt idx="127" formatCode="[$-F800]dddd\,\ mmmm\ dd\,\ yyyy">
                  <c:v>42549</c:v>
                </c:pt>
                <c:pt idx="128" formatCode="[$-F800]dddd\,\ mmmm\ dd\,\ yyyy">
                  <c:v>42550</c:v>
                </c:pt>
                <c:pt idx="129" formatCode="[$-F800]dddd\,\ mmmm\ dd\,\ yyyy">
                  <c:v>42551</c:v>
                </c:pt>
                <c:pt idx="130" formatCode="[$-F800]dddd\,\ mmmm\ dd\,\ yyyy">
                  <c:v>42552</c:v>
                </c:pt>
                <c:pt idx="131" formatCode="[$-F800]dddd\,\ mmmm\ dd\,\ yyyy">
                  <c:v>42555</c:v>
                </c:pt>
                <c:pt idx="132" formatCode="[$-F800]dddd\,\ mmmm\ dd\,\ yyyy">
                  <c:v>42556</c:v>
                </c:pt>
                <c:pt idx="133" formatCode="[$-F800]dddd\,\ mmmm\ dd\,\ yyyy">
                  <c:v>42557</c:v>
                </c:pt>
                <c:pt idx="134" formatCode="[$-F800]dddd\,\ mmmm\ dd\,\ yyyy">
                  <c:v>42558</c:v>
                </c:pt>
                <c:pt idx="135" formatCode="[$-F800]dddd\,\ mmmm\ dd\,\ yyyy">
                  <c:v>42559</c:v>
                </c:pt>
                <c:pt idx="136" formatCode="[$-F800]dddd\,\ mmmm\ dd\,\ yyyy">
                  <c:v>42562</c:v>
                </c:pt>
                <c:pt idx="137" formatCode="[$-F800]dddd\,\ mmmm\ dd\,\ yyyy">
                  <c:v>42563</c:v>
                </c:pt>
                <c:pt idx="138" formatCode="[$-F800]dddd\,\ mmmm\ dd\,\ yyyy">
                  <c:v>42564</c:v>
                </c:pt>
                <c:pt idx="139" formatCode="[$-F800]dddd\,\ mmmm\ dd\,\ yyyy">
                  <c:v>42565</c:v>
                </c:pt>
                <c:pt idx="140" formatCode="[$-F800]dddd\,\ mmmm\ dd\,\ yyyy">
                  <c:v>42566</c:v>
                </c:pt>
                <c:pt idx="141" formatCode="[$-F800]dddd\,\ mmmm\ dd\,\ yyyy">
                  <c:v>42569</c:v>
                </c:pt>
                <c:pt idx="142" formatCode="[$-F800]dddd\,\ mmmm\ dd\,\ yyyy">
                  <c:v>42570</c:v>
                </c:pt>
                <c:pt idx="143" formatCode="[$-F800]dddd\,\ mmmm\ dd\,\ yyyy">
                  <c:v>42571</c:v>
                </c:pt>
                <c:pt idx="144" formatCode="[$-F800]dddd\,\ mmmm\ dd\,\ yyyy">
                  <c:v>42572</c:v>
                </c:pt>
                <c:pt idx="145" formatCode="[$-F800]dddd\,\ mmmm\ dd\,\ yyyy">
                  <c:v>42573</c:v>
                </c:pt>
                <c:pt idx="146" formatCode="[$-F800]dddd\,\ mmmm\ dd\,\ yyyy">
                  <c:v>42576</c:v>
                </c:pt>
                <c:pt idx="147" formatCode="[$-F800]dddd\,\ mmmm\ dd\,\ yyyy">
                  <c:v>42577</c:v>
                </c:pt>
                <c:pt idx="148" formatCode="[$-F800]dddd\,\ mmmm\ dd\,\ yyyy">
                  <c:v>42578</c:v>
                </c:pt>
                <c:pt idx="149" formatCode="[$-F800]dddd\,\ mmmm\ dd\,\ yyyy">
                  <c:v>42579</c:v>
                </c:pt>
                <c:pt idx="150" formatCode="[$-F800]dddd\,\ mmmm\ dd\,\ yyyy">
                  <c:v>42580</c:v>
                </c:pt>
                <c:pt idx="151" formatCode="[$-F800]dddd\,\ mmmm\ dd\,\ yyyy">
                  <c:v>42583</c:v>
                </c:pt>
                <c:pt idx="152" formatCode="[$-F800]dddd\,\ mmmm\ dd\,\ yyyy">
                  <c:v>42584</c:v>
                </c:pt>
                <c:pt idx="153" formatCode="[$-F800]dddd\,\ mmmm\ dd\,\ yyyy">
                  <c:v>42585</c:v>
                </c:pt>
                <c:pt idx="154" formatCode="[$-F800]dddd\,\ mmmm\ dd\,\ yyyy">
                  <c:v>42586</c:v>
                </c:pt>
                <c:pt idx="155" formatCode="[$-F800]dddd\,\ mmmm\ dd\,\ yyyy">
                  <c:v>42587</c:v>
                </c:pt>
                <c:pt idx="156" formatCode="[$-F800]dddd\,\ mmmm\ dd\,\ yyyy">
                  <c:v>42590</c:v>
                </c:pt>
                <c:pt idx="157" formatCode="[$-F800]dddd\,\ mmmm\ dd\,\ yyyy">
                  <c:v>42591</c:v>
                </c:pt>
                <c:pt idx="158" formatCode="[$-F800]dddd\,\ mmmm\ dd\,\ yyyy">
                  <c:v>42592</c:v>
                </c:pt>
                <c:pt idx="159" formatCode="[$-F800]dddd\,\ mmmm\ dd\,\ yyyy">
                  <c:v>42593</c:v>
                </c:pt>
                <c:pt idx="160" formatCode="[$-F800]dddd\,\ mmmm\ dd\,\ yyyy">
                  <c:v>42594</c:v>
                </c:pt>
                <c:pt idx="161" formatCode="[$-F800]dddd\,\ mmmm\ dd\,\ yyyy">
                  <c:v>42597</c:v>
                </c:pt>
                <c:pt idx="162" formatCode="[$-F800]dddd\,\ mmmm\ dd\,\ yyyy">
                  <c:v>42598</c:v>
                </c:pt>
                <c:pt idx="163" formatCode="[$-F800]dddd\,\ mmmm\ dd\,\ yyyy">
                  <c:v>42599</c:v>
                </c:pt>
                <c:pt idx="164" formatCode="[$-F800]dddd\,\ mmmm\ dd\,\ yyyy">
                  <c:v>42600</c:v>
                </c:pt>
                <c:pt idx="165" formatCode="[$-F800]dddd\,\ mmmm\ dd\,\ yyyy">
                  <c:v>42601</c:v>
                </c:pt>
                <c:pt idx="166" formatCode="[$-F800]dddd\,\ mmmm\ dd\,\ yyyy">
                  <c:v>42604</c:v>
                </c:pt>
                <c:pt idx="167" formatCode="[$-F800]dddd\,\ mmmm\ dd\,\ yyyy">
                  <c:v>42605</c:v>
                </c:pt>
                <c:pt idx="168" formatCode="[$-F800]dddd\,\ mmmm\ dd\,\ yyyy">
                  <c:v>42606</c:v>
                </c:pt>
                <c:pt idx="169" formatCode="[$-F800]dddd\,\ mmmm\ dd\,\ yyyy">
                  <c:v>42607</c:v>
                </c:pt>
                <c:pt idx="170" formatCode="[$-F800]dddd\,\ mmmm\ dd\,\ yyyy">
                  <c:v>42608</c:v>
                </c:pt>
                <c:pt idx="171" formatCode="[$-F800]dddd\,\ mmmm\ dd\,\ yyyy">
                  <c:v>42611</c:v>
                </c:pt>
                <c:pt idx="172" formatCode="[$-F800]dddd\,\ mmmm\ dd\,\ yyyy">
                  <c:v>42612</c:v>
                </c:pt>
                <c:pt idx="173" formatCode="[$-F800]dddd\,\ mmmm\ dd\,\ yyyy">
                  <c:v>42613</c:v>
                </c:pt>
                <c:pt idx="174" formatCode="[$-F800]dddd\,\ mmmm\ dd\,\ yyyy">
                  <c:v>42614</c:v>
                </c:pt>
                <c:pt idx="175" formatCode="[$-F800]dddd\,\ mmmm\ dd\,\ yyyy">
                  <c:v>42615</c:v>
                </c:pt>
                <c:pt idx="176" formatCode="[$-F800]dddd\,\ mmmm\ dd\,\ yyyy">
                  <c:v>42618</c:v>
                </c:pt>
                <c:pt idx="177" formatCode="[$-F800]dddd\,\ mmmm\ dd\,\ yyyy">
                  <c:v>42619</c:v>
                </c:pt>
                <c:pt idx="178" formatCode="[$-F800]dddd\,\ mmmm\ dd\,\ yyyy">
                  <c:v>42620</c:v>
                </c:pt>
                <c:pt idx="179" formatCode="[$-F800]dddd\,\ mmmm\ dd\,\ yyyy">
                  <c:v>42621</c:v>
                </c:pt>
                <c:pt idx="180" formatCode="[$-F800]dddd\,\ mmmm\ dd\,\ yyyy">
                  <c:v>42622</c:v>
                </c:pt>
                <c:pt idx="181" formatCode="[$-F800]dddd\,\ mmmm\ dd\,\ yyyy">
                  <c:v>42625</c:v>
                </c:pt>
                <c:pt idx="182" formatCode="[$-F800]dddd\,\ mmmm\ dd\,\ yyyy">
                  <c:v>42626</c:v>
                </c:pt>
                <c:pt idx="183" formatCode="[$-F800]dddd\,\ mmmm\ dd\,\ yyyy">
                  <c:v>42627</c:v>
                </c:pt>
                <c:pt idx="184" formatCode="[$-F800]dddd\,\ mmmm\ dd\,\ yyyy">
                  <c:v>42628</c:v>
                </c:pt>
                <c:pt idx="185" formatCode="[$-F800]dddd\,\ mmmm\ dd\,\ yyyy">
                  <c:v>42629</c:v>
                </c:pt>
                <c:pt idx="186" formatCode="[$-F800]dddd\,\ mmmm\ dd\,\ yyyy">
                  <c:v>42632</c:v>
                </c:pt>
                <c:pt idx="187" formatCode="[$-F800]dddd\,\ mmmm\ dd\,\ yyyy">
                  <c:v>42633</c:v>
                </c:pt>
                <c:pt idx="188" formatCode="[$-F800]dddd\,\ mmmm\ dd\,\ yyyy">
                  <c:v>42634</c:v>
                </c:pt>
                <c:pt idx="189" formatCode="[$-F800]dddd\,\ mmmm\ dd\,\ yyyy">
                  <c:v>42635</c:v>
                </c:pt>
                <c:pt idx="190" formatCode="[$-F800]dddd\,\ mmmm\ dd\,\ yyyy">
                  <c:v>42636</c:v>
                </c:pt>
                <c:pt idx="191" formatCode="[$-F800]dddd\,\ mmmm\ dd\,\ yyyy">
                  <c:v>42639</c:v>
                </c:pt>
                <c:pt idx="192" formatCode="[$-F800]dddd\,\ mmmm\ dd\,\ yyyy">
                  <c:v>42640</c:v>
                </c:pt>
                <c:pt idx="193" formatCode="[$-F800]dddd\,\ mmmm\ dd\,\ yyyy">
                  <c:v>42641</c:v>
                </c:pt>
                <c:pt idx="194" formatCode="[$-F800]dddd\,\ mmmm\ dd\,\ yyyy">
                  <c:v>42642</c:v>
                </c:pt>
                <c:pt idx="195" formatCode="[$-F800]dddd\,\ mmmm\ dd\,\ yyyy">
                  <c:v>42643</c:v>
                </c:pt>
                <c:pt idx="196" formatCode="[$-F800]dddd\,\ mmmm\ dd\,\ yyyy">
                  <c:v>42646</c:v>
                </c:pt>
                <c:pt idx="197" formatCode="[$-F800]dddd\,\ mmmm\ dd\,\ yyyy">
                  <c:v>42647</c:v>
                </c:pt>
                <c:pt idx="198" formatCode="[$-F800]dddd\,\ mmmm\ dd\,\ yyyy">
                  <c:v>42648</c:v>
                </c:pt>
                <c:pt idx="199" formatCode="[$-F800]dddd\,\ mmmm\ dd\,\ yyyy">
                  <c:v>42649</c:v>
                </c:pt>
                <c:pt idx="200" formatCode="[$-F800]dddd\,\ mmmm\ dd\,\ yyyy">
                  <c:v>42650</c:v>
                </c:pt>
                <c:pt idx="201" formatCode="[$-F800]dddd\,\ mmmm\ dd\,\ yyyy">
                  <c:v>42653</c:v>
                </c:pt>
                <c:pt idx="202" formatCode="[$-F800]dddd\,\ mmmm\ dd\,\ yyyy">
                  <c:v>42654</c:v>
                </c:pt>
                <c:pt idx="203" formatCode="[$-F800]dddd\,\ mmmm\ dd\,\ yyyy">
                  <c:v>42655</c:v>
                </c:pt>
                <c:pt idx="204" formatCode="[$-F800]dddd\,\ mmmm\ dd\,\ yyyy">
                  <c:v>42656</c:v>
                </c:pt>
                <c:pt idx="205" formatCode="[$-F800]dddd\,\ mmmm\ dd\,\ yyyy">
                  <c:v>42657</c:v>
                </c:pt>
                <c:pt idx="206" formatCode="[$-F800]dddd\,\ mmmm\ dd\,\ yyyy">
                  <c:v>42660</c:v>
                </c:pt>
                <c:pt idx="207" formatCode="[$-F800]dddd\,\ mmmm\ dd\,\ yyyy">
                  <c:v>42661</c:v>
                </c:pt>
                <c:pt idx="208" formatCode="[$-F800]dddd\,\ mmmm\ dd\,\ yyyy">
                  <c:v>42662</c:v>
                </c:pt>
                <c:pt idx="209" formatCode="[$-F800]dddd\,\ mmmm\ dd\,\ yyyy">
                  <c:v>42663</c:v>
                </c:pt>
                <c:pt idx="210" formatCode="[$-F800]dddd\,\ mmmm\ dd\,\ yyyy">
                  <c:v>42664</c:v>
                </c:pt>
                <c:pt idx="211" formatCode="[$-F800]dddd\,\ mmmm\ dd\,\ yyyy">
                  <c:v>42667</c:v>
                </c:pt>
                <c:pt idx="212" formatCode="[$-F800]dddd\,\ mmmm\ dd\,\ yyyy">
                  <c:v>42668</c:v>
                </c:pt>
                <c:pt idx="213" formatCode="[$-F800]dddd\,\ mmmm\ dd\,\ yyyy">
                  <c:v>42669</c:v>
                </c:pt>
                <c:pt idx="214" formatCode="[$-F800]dddd\,\ mmmm\ dd\,\ yyyy">
                  <c:v>42670</c:v>
                </c:pt>
                <c:pt idx="215" formatCode="[$-F800]dddd\,\ mmmm\ dd\,\ yyyy">
                  <c:v>42671</c:v>
                </c:pt>
                <c:pt idx="216" formatCode="[$-F800]dddd\,\ mmmm\ dd\,\ yyyy">
                  <c:v>42674</c:v>
                </c:pt>
                <c:pt idx="217" formatCode="[$-F800]dddd\,\ mmmm\ dd\,\ yyyy">
                  <c:v>42675</c:v>
                </c:pt>
                <c:pt idx="218" formatCode="[$-F800]dddd\,\ mmmm\ dd\,\ yyyy">
                  <c:v>42676</c:v>
                </c:pt>
                <c:pt idx="219" formatCode="[$-F800]dddd\,\ mmmm\ dd\,\ yyyy">
                  <c:v>42677</c:v>
                </c:pt>
                <c:pt idx="220" formatCode="[$-F800]dddd\,\ mmmm\ dd\,\ yyyy">
                  <c:v>42678</c:v>
                </c:pt>
                <c:pt idx="221" formatCode="[$-F800]dddd\,\ mmmm\ dd\,\ yyyy">
                  <c:v>42681</c:v>
                </c:pt>
                <c:pt idx="222" formatCode="[$-F800]dddd\,\ mmmm\ dd\,\ yyyy">
                  <c:v>42682</c:v>
                </c:pt>
                <c:pt idx="223" formatCode="[$-F800]dddd\,\ mmmm\ dd\,\ yyyy">
                  <c:v>42683</c:v>
                </c:pt>
                <c:pt idx="224" formatCode="[$-F800]dddd\,\ mmmm\ dd\,\ yyyy">
                  <c:v>42684</c:v>
                </c:pt>
                <c:pt idx="225" formatCode="[$-F800]dddd\,\ mmmm\ dd\,\ yyyy">
                  <c:v>42685</c:v>
                </c:pt>
                <c:pt idx="226" formatCode="[$-F800]dddd\,\ mmmm\ dd\,\ yyyy">
                  <c:v>42688</c:v>
                </c:pt>
                <c:pt idx="227" formatCode="[$-F800]dddd\,\ mmmm\ dd\,\ yyyy">
                  <c:v>42689</c:v>
                </c:pt>
              </c:numCache>
            </c:numRef>
          </c:cat>
          <c:val>
            <c:numRef>
              <c:f>Data!$B$4:$B$231</c:f>
              <c:numCache>
                <c:formatCode>#,##0_);[Red]\(#,##0\)</c:formatCode>
                <c:ptCount val="228"/>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c:v>
                </c:pt>
                <c:pt idx="126">
                  <c:v>205735.12</c:v>
                </c:pt>
                <c:pt idx="127">
                  <c:v>207489.37</c:v>
                </c:pt>
                <c:pt idx="128">
                  <c:v>213757.9</c:v>
                </c:pt>
                <c:pt idx="129">
                  <c:v>220332.56</c:v>
                </c:pt>
                <c:pt idx="130">
                  <c:v>212813.84</c:v>
                </c:pt>
                <c:pt idx="131">
                  <c:v>212814</c:v>
                </c:pt>
                <c:pt idx="132">
                  <c:v>236539.45</c:v>
                </c:pt>
                <c:pt idx="133">
                  <c:v>234224.42</c:v>
                </c:pt>
                <c:pt idx="134">
                  <c:v>234132.08</c:v>
                </c:pt>
                <c:pt idx="135">
                  <c:v>234132.08</c:v>
                </c:pt>
                <c:pt idx="136">
                  <c:v>199890.85</c:v>
                </c:pt>
                <c:pt idx="137">
                  <c:v>221114.27</c:v>
                </c:pt>
                <c:pt idx="138">
                  <c:v>221114</c:v>
                </c:pt>
                <c:pt idx="139">
                  <c:v>214752.25</c:v>
                </c:pt>
                <c:pt idx="140">
                  <c:v>294578.96999999997</c:v>
                </c:pt>
                <c:pt idx="141">
                  <c:v>294579</c:v>
                </c:pt>
                <c:pt idx="142">
                  <c:v>294579</c:v>
                </c:pt>
                <c:pt idx="143">
                  <c:v>328195.42</c:v>
                </c:pt>
                <c:pt idx="144">
                  <c:v>407865.86</c:v>
                </c:pt>
                <c:pt idx="145">
                  <c:v>409053.93</c:v>
                </c:pt>
                <c:pt idx="146">
                  <c:v>372421.56</c:v>
                </c:pt>
                <c:pt idx="147">
                  <c:v>375562.78</c:v>
                </c:pt>
                <c:pt idx="148">
                  <c:v>375563</c:v>
                </c:pt>
                <c:pt idx="149">
                  <c:v>366510.98</c:v>
                </c:pt>
                <c:pt idx="150">
                  <c:v>366609.48</c:v>
                </c:pt>
                <c:pt idx="151">
                  <c:v>382689.69</c:v>
                </c:pt>
                <c:pt idx="152">
                  <c:v>382690</c:v>
                </c:pt>
                <c:pt idx="153">
                  <c:v>387013.59</c:v>
                </c:pt>
                <c:pt idx="154">
                  <c:v>382543.7</c:v>
                </c:pt>
                <c:pt idx="155">
                  <c:v>382544</c:v>
                </c:pt>
                <c:pt idx="156">
                  <c:v>344510.17</c:v>
                </c:pt>
                <c:pt idx="157">
                  <c:v>350095.94</c:v>
                </c:pt>
                <c:pt idx="158">
                  <c:v>350096</c:v>
                </c:pt>
                <c:pt idx="159">
                  <c:v>355079.15</c:v>
                </c:pt>
                <c:pt idx="160">
                  <c:v>356502.11</c:v>
                </c:pt>
                <c:pt idx="161">
                  <c:v>408622.46</c:v>
                </c:pt>
                <c:pt idx="162">
                  <c:v>408622</c:v>
                </c:pt>
                <c:pt idx="163">
                  <c:v>408622</c:v>
                </c:pt>
                <c:pt idx="164">
                  <c:v>409931.67</c:v>
                </c:pt>
                <c:pt idx="165">
                  <c:v>410189.3</c:v>
                </c:pt>
                <c:pt idx="166">
                  <c:v>370399.56</c:v>
                </c:pt>
                <c:pt idx="167">
                  <c:v>370399.56</c:v>
                </c:pt>
                <c:pt idx="168">
                  <c:v>370400</c:v>
                </c:pt>
                <c:pt idx="169">
                  <c:v>359591.19</c:v>
                </c:pt>
                <c:pt idx="170">
                  <c:v>399163.14</c:v>
                </c:pt>
                <c:pt idx="171">
                  <c:v>407196.62</c:v>
                </c:pt>
                <c:pt idx="172">
                  <c:v>422526.97</c:v>
                </c:pt>
                <c:pt idx="173">
                  <c:v>479216.05</c:v>
                </c:pt>
                <c:pt idx="174">
                  <c:v>479216</c:v>
                </c:pt>
                <c:pt idx="175">
                  <c:v>479216</c:v>
                </c:pt>
                <c:pt idx="176">
                  <c:v>479216</c:v>
                </c:pt>
                <c:pt idx="177">
                  <c:v>440784.82</c:v>
                </c:pt>
                <c:pt idx="178">
                  <c:v>440785</c:v>
                </c:pt>
                <c:pt idx="179">
                  <c:v>445373.31</c:v>
                </c:pt>
                <c:pt idx="180">
                  <c:v>463896.46</c:v>
                </c:pt>
                <c:pt idx="181">
                  <c:v>463296.46</c:v>
                </c:pt>
                <c:pt idx="182">
                  <c:v>465024.54</c:v>
                </c:pt>
                <c:pt idx="183">
                  <c:v>465025</c:v>
                </c:pt>
                <c:pt idx="184">
                  <c:v>447444.34</c:v>
                </c:pt>
                <c:pt idx="185">
                  <c:v>451135.42</c:v>
                </c:pt>
                <c:pt idx="186">
                  <c:v>413924.51</c:v>
                </c:pt>
                <c:pt idx="187">
                  <c:v>395080.96000000002</c:v>
                </c:pt>
                <c:pt idx="188">
                  <c:v>393852.1</c:v>
                </c:pt>
                <c:pt idx="189">
                  <c:v>397757.18</c:v>
                </c:pt>
                <c:pt idx="190">
                  <c:v>397757</c:v>
                </c:pt>
                <c:pt idx="191">
                  <c:v>397757</c:v>
                </c:pt>
                <c:pt idx="192">
                  <c:v>403105.59</c:v>
                </c:pt>
                <c:pt idx="193">
                  <c:v>394170.51</c:v>
                </c:pt>
                <c:pt idx="194">
                  <c:v>397917.56</c:v>
                </c:pt>
                <c:pt idx="195">
                  <c:v>397918</c:v>
                </c:pt>
                <c:pt idx="196">
                  <c:v>361701.8</c:v>
                </c:pt>
                <c:pt idx="197">
                  <c:v>362031.95</c:v>
                </c:pt>
                <c:pt idx="198">
                  <c:v>362032</c:v>
                </c:pt>
                <c:pt idx="199">
                  <c:v>360433.13</c:v>
                </c:pt>
                <c:pt idx="200">
                  <c:v>361754.66</c:v>
                </c:pt>
                <c:pt idx="201">
                  <c:v>361755</c:v>
                </c:pt>
                <c:pt idx="202">
                  <c:v>361755</c:v>
                </c:pt>
                <c:pt idx="203">
                  <c:v>365429.62</c:v>
                </c:pt>
                <c:pt idx="204">
                  <c:v>375400.83</c:v>
                </c:pt>
                <c:pt idx="205">
                  <c:v>375484.03</c:v>
                </c:pt>
                <c:pt idx="206">
                  <c:v>339702.96</c:v>
                </c:pt>
                <c:pt idx="207">
                  <c:v>343741.39</c:v>
                </c:pt>
                <c:pt idx="208">
                  <c:v>343741</c:v>
                </c:pt>
                <c:pt idx="209">
                  <c:v>332267.31</c:v>
                </c:pt>
                <c:pt idx="210">
                  <c:v>332482.06</c:v>
                </c:pt>
                <c:pt idx="211">
                  <c:v>332482</c:v>
                </c:pt>
                <c:pt idx="212">
                  <c:v>337085.39</c:v>
                </c:pt>
                <c:pt idx="213">
                  <c:v>337085</c:v>
                </c:pt>
                <c:pt idx="214">
                  <c:v>333113.26</c:v>
                </c:pt>
                <c:pt idx="215">
                  <c:v>360993.03</c:v>
                </c:pt>
                <c:pt idx="216">
                  <c:v>350567.25</c:v>
                </c:pt>
                <c:pt idx="217">
                  <c:v>350939.21</c:v>
                </c:pt>
                <c:pt idx="218">
                  <c:v>350939</c:v>
                </c:pt>
                <c:pt idx="219">
                  <c:v>344148.64</c:v>
                </c:pt>
                <c:pt idx="220">
                  <c:v>399084.27</c:v>
                </c:pt>
                <c:pt idx="221">
                  <c:v>399084</c:v>
                </c:pt>
                <c:pt idx="222">
                  <c:v>403667.29</c:v>
                </c:pt>
                <c:pt idx="223">
                  <c:v>403667</c:v>
                </c:pt>
                <c:pt idx="224">
                  <c:v>383477.25</c:v>
                </c:pt>
                <c:pt idx="225">
                  <c:v>383477</c:v>
                </c:pt>
                <c:pt idx="226">
                  <c:v>347717.6</c:v>
                </c:pt>
                <c:pt idx="227">
                  <c:v>347718</c:v>
                </c:pt>
              </c:numCache>
            </c:numRef>
          </c:val>
          <c:smooth val="0"/>
        </c:ser>
        <c:dLbls>
          <c:showLegendKey val="0"/>
          <c:showVal val="0"/>
          <c:showCatName val="0"/>
          <c:showSerName val="0"/>
          <c:showPercent val="0"/>
          <c:showBubbleSize val="0"/>
        </c:dLbls>
        <c:smooth val="0"/>
        <c:axId val="202664664"/>
        <c:axId val="202665056"/>
      </c:lineChart>
      <c:dateAx>
        <c:axId val="20266466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65056"/>
        <c:crosses val="autoZero"/>
        <c:auto val="1"/>
        <c:lblOffset val="100"/>
        <c:baseTimeUnit val="days"/>
      </c:dateAx>
      <c:valAx>
        <c:axId val="202665056"/>
        <c:scaling>
          <c:orientation val="minMax"/>
        </c:scaling>
        <c:delete val="0"/>
        <c:axPos val="l"/>
        <c:majorGridlines>
          <c:spPr>
            <a:ln w="9525" cap="flat" cmpd="sng" algn="ctr">
              <a:solidFill>
                <a:schemeClr val="accent1"/>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64664"/>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2AD7B-4C86-4FF0-8FBD-9356FA6D7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5</cp:revision>
  <dcterms:created xsi:type="dcterms:W3CDTF">2016-11-17T18:12:00Z</dcterms:created>
  <dcterms:modified xsi:type="dcterms:W3CDTF">2016-11-17T21:20:00Z</dcterms:modified>
</cp:coreProperties>
</file>