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097F59">
            <w:pPr>
              <w:rPr>
                <w:b/>
              </w:rPr>
            </w:pPr>
            <w:r w:rsidRPr="001E0050">
              <w:rPr>
                <w:b/>
              </w:rPr>
              <w:t xml:space="preserve">Date:    </w:t>
            </w:r>
            <w:r w:rsidR="00097F59">
              <w:rPr>
                <w:b/>
              </w:rPr>
              <w:t>September 20</w:t>
            </w:r>
            <w:r w:rsidR="009D18D2">
              <w:rPr>
                <w:b/>
              </w:rPr>
              <w:t>, 2016</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Board Members Attending:</w:t>
            </w:r>
            <w:r w:rsidR="003F79C4">
              <w:rPr>
                <w:b/>
              </w:rPr>
              <w:t xml:space="preserve"> </w:t>
            </w:r>
            <w:r w:rsidR="009D18D2">
              <w:rPr>
                <w:b/>
              </w:rPr>
              <w:t xml:space="preserve">Ken Stall, </w:t>
            </w:r>
            <w:r w:rsidRPr="001E0050">
              <w:rPr>
                <w:b/>
              </w:rPr>
              <w:t xml:space="preserve">Jim Campion </w:t>
            </w:r>
          </w:p>
          <w:p w:rsidR="00D81AA6" w:rsidRPr="001E0050" w:rsidRDefault="00D81AA6" w:rsidP="00810247">
            <w:r w:rsidRPr="001E0050">
              <w:rPr>
                <w:b/>
              </w:rPr>
              <w:t xml:space="preserve">Board Members Absent:  </w:t>
            </w:r>
            <w:r w:rsidR="00810247">
              <w:rPr>
                <w:b/>
              </w:rPr>
              <w:t xml:space="preserve">Robin Andrews, </w:t>
            </w:r>
            <w:r w:rsidR="003F79C4">
              <w:rPr>
                <w:b/>
              </w:rPr>
              <w:t>PJ Keeler</w:t>
            </w:r>
            <w:r w:rsidR="00810247">
              <w:rPr>
                <w:b/>
              </w:rPr>
              <w:t xml:space="preserve">, Lisa Evans, Chelly Hegan </w:t>
            </w:r>
          </w:p>
        </w:tc>
        <w:tc>
          <w:tcPr>
            <w:tcW w:w="3791" w:type="dxa"/>
          </w:tcPr>
          <w:p w:rsidR="00D81AA6" w:rsidRPr="001E0050" w:rsidRDefault="00D81AA6" w:rsidP="00810247">
            <w:pPr>
              <w:rPr>
                <w:b/>
              </w:rPr>
            </w:pPr>
            <w:r w:rsidRPr="001E0050">
              <w:rPr>
                <w:b/>
              </w:rPr>
              <w:t xml:space="preserve">Guests: </w:t>
            </w:r>
            <w:r w:rsidR="00810247">
              <w:rPr>
                <w:b/>
              </w:rPr>
              <w:t>Tim Bartholomew</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t>Update on the Investment Account</w:t>
            </w:r>
          </w:p>
        </w:tc>
        <w:tc>
          <w:tcPr>
            <w:tcW w:w="12482" w:type="dxa"/>
            <w:gridSpan w:val="2"/>
            <w:tcBorders>
              <w:top w:val="single" w:sz="4" w:space="0" w:color="auto"/>
              <w:left w:val="single" w:sz="4" w:space="0" w:color="auto"/>
              <w:bottom w:val="single" w:sz="4" w:space="0" w:color="auto"/>
            </w:tcBorders>
            <w:vAlign w:val="center"/>
          </w:tcPr>
          <w:p w:rsidR="004C488F" w:rsidRDefault="00AF0735" w:rsidP="004C488F">
            <w:r>
              <w:t>Tim Bartholomew, the investment account’s manager, provided the Com</w:t>
            </w:r>
            <w:r w:rsidR="00810247" w:rsidRPr="00062538">
              <w:t xml:space="preserve">mittee </w:t>
            </w:r>
            <w:r>
              <w:t xml:space="preserve">with a review of the past 12 months, recounting the long process to move the assets </w:t>
            </w:r>
            <w:r w:rsidR="004C488F">
              <w:t xml:space="preserve">from the Trustco account </w:t>
            </w:r>
            <w:r>
              <w:t xml:space="preserve">to </w:t>
            </w:r>
            <w:r w:rsidR="004C488F">
              <w:t>the new one</w:t>
            </w:r>
            <w:r>
              <w:t xml:space="preserve"> (~$31K, ultimately moved as cash in February 2016), the addition of $120,000 in March, and the gradual investment of funds since that time</w:t>
            </w:r>
            <w:r w:rsidR="00D94F56">
              <w:t>.</w:t>
            </w:r>
            <w:r>
              <w:t xml:space="preserve">  </w:t>
            </w:r>
            <w:r w:rsidR="00D94F56">
              <w:t xml:space="preserve">Tim commented that the markets were turbulent at the time that the investments were initiated.  That fact, plus Tim’s assessment of the Committee and Board’s familiarity and comfort with investing informed </w:t>
            </w:r>
            <w:r w:rsidR="004C488F">
              <w:t>a somewhat</w:t>
            </w:r>
            <w:r w:rsidR="00D94F56">
              <w:t xml:space="preserve"> cautious approach, which </w:t>
            </w:r>
            <w:r w:rsidR="004C488F">
              <w:t>entailed</w:t>
            </w:r>
            <w:r w:rsidR="00D94F56">
              <w:t xml:space="preserve"> dollar-cost averaging $12,000/month into 6 different funds, and committing $37K and $38</w:t>
            </w:r>
            <w:r w:rsidR="004C488F">
              <w:t xml:space="preserve">K </w:t>
            </w:r>
            <w:r w:rsidR="00D94F56">
              <w:t>to 3 and 6 –month cds, respectively.  When the $37K cd matured</w:t>
            </w:r>
            <w:r w:rsidR="004C488F">
              <w:t xml:space="preserve"> in late August</w:t>
            </w:r>
            <w:r w:rsidR="00D94F56">
              <w:t xml:space="preserve">, those funds were evenly invested in the same 6 funds. </w:t>
            </w:r>
          </w:p>
          <w:p w:rsidR="004C488F" w:rsidRDefault="004C488F" w:rsidP="004C488F"/>
          <w:p w:rsidR="00810247" w:rsidRDefault="004C488F" w:rsidP="004C488F">
            <w:r>
              <w:t xml:space="preserve">Tim proposed to continue </w:t>
            </w:r>
            <w:r w:rsidR="00D94F56">
              <w:t xml:space="preserve">dollar-cost averaging in the remaining cash, </w:t>
            </w:r>
            <w:r>
              <w:t xml:space="preserve">and investing the monies from the second cd when it matures.  This approach would ensure that </w:t>
            </w:r>
            <w:r w:rsidR="00D94F56">
              <w:t xml:space="preserve">all </w:t>
            </w:r>
            <w:r>
              <w:t>cash</w:t>
            </w:r>
            <w:r w:rsidR="00D94F56">
              <w:t xml:space="preserve"> should be invested by November. The Committee members expressed their comfort with</w:t>
            </w:r>
            <w:r>
              <w:t xml:space="preserve"> this approach and indicated that they rely on Tim for strategy.</w:t>
            </w:r>
          </w:p>
          <w:p w:rsidR="004C488F" w:rsidRDefault="004C488F" w:rsidP="004C488F"/>
          <w:p w:rsidR="004C488F" w:rsidRPr="001E0050" w:rsidRDefault="004C488F" w:rsidP="004C488F">
            <w:r>
              <w:t xml:space="preserve">Tim advised that we receive regular investment statements by mail, and that he will visit with the Committee personally a minimum of two times per year. He also emphasized that he is willing to come more regularly, or anytime at the Committee’s request. </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rsidRPr="001E0050">
              <w:t>Highlights from the Financial Reports</w:t>
            </w:r>
          </w:p>
          <w:p w:rsidR="00810247" w:rsidRPr="001E0050" w:rsidRDefault="00810247" w:rsidP="00810247"/>
        </w:tc>
        <w:tc>
          <w:tcPr>
            <w:tcW w:w="12482" w:type="dxa"/>
            <w:gridSpan w:val="2"/>
            <w:tcBorders>
              <w:top w:val="single" w:sz="4" w:space="0" w:color="auto"/>
              <w:left w:val="single" w:sz="4" w:space="0" w:color="auto"/>
              <w:bottom w:val="single" w:sz="4" w:space="0" w:color="auto"/>
            </w:tcBorders>
            <w:vAlign w:val="center"/>
          </w:tcPr>
          <w:p w:rsidR="00810247" w:rsidRPr="00A03133" w:rsidRDefault="00810247" w:rsidP="004C488F">
            <w:pPr>
              <w:spacing w:before="120"/>
              <w:rPr>
                <w:color w:val="000000"/>
              </w:rPr>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4C488F">
              <w:t>August 31</w:t>
            </w:r>
            <w:r>
              <w:t xml:space="preserve">, 2016. John Ray offered his “Fiscal Highlights” (see attached). </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t>Next mtng</w:t>
            </w:r>
          </w:p>
        </w:tc>
        <w:tc>
          <w:tcPr>
            <w:tcW w:w="12482" w:type="dxa"/>
            <w:gridSpan w:val="2"/>
            <w:tcBorders>
              <w:top w:val="single" w:sz="4" w:space="0" w:color="auto"/>
              <w:left w:val="single" w:sz="4" w:space="0" w:color="auto"/>
              <w:bottom w:val="single" w:sz="4" w:space="0" w:color="auto"/>
            </w:tcBorders>
            <w:vAlign w:val="center"/>
          </w:tcPr>
          <w:p w:rsidR="00810247" w:rsidRPr="001E0050" w:rsidRDefault="00810247" w:rsidP="00810247">
            <w:pPr>
              <w:spacing w:before="120"/>
            </w:pPr>
            <w:r w:rsidRPr="005D783D">
              <w:t xml:space="preserve">The next meeting is scheduled for </w:t>
            </w:r>
            <w:r>
              <w:t>November 15, 2016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tbl>
      <w:tblPr>
        <w:tblW w:w="11520" w:type="dxa"/>
        <w:tblInd w:w="-360" w:type="dxa"/>
        <w:tblLook w:val="04A0" w:firstRow="1" w:lastRow="0" w:firstColumn="1" w:lastColumn="0" w:noHBand="0" w:noVBand="1"/>
      </w:tblPr>
      <w:tblGrid>
        <w:gridCol w:w="295"/>
        <w:gridCol w:w="1897"/>
        <w:gridCol w:w="1897"/>
        <w:gridCol w:w="1897"/>
        <w:gridCol w:w="1897"/>
        <w:gridCol w:w="3637"/>
      </w:tblGrid>
      <w:tr w:rsidR="00385B16" w:rsidRPr="00385B16" w:rsidTr="00752B9A">
        <w:trPr>
          <w:trHeight w:val="465"/>
        </w:trPr>
        <w:tc>
          <w:tcPr>
            <w:tcW w:w="11520" w:type="dxa"/>
            <w:gridSpan w:val="6"/>
            <w:tcBorders>
              <w:top w:val="nil"/>
              <w:left w:val="nil"/>
              <w:bottom w:val="nil"/>
              <w:right w:val="nil"/>
            </w:tcBorders>
            <w:shd w:val="clear" w:color="auto" w:fill="auto"/>
            <w:noWrap/>
            <w:vAlign w:val="center"/>
            <w:hideMark/>
          </w:tcPr>
          <w:p w:rsidR="00385B16" w:rsidRPr="00385B16" w:rsidRDefault="00385B16" w:rsidP="00385B16">
            <w:pPr>
              <w:jc w:val="center"/>
              <w:rPr>
                <w:rFonts w:ascii="Calibri" w:hAnsi="Calibri" w:cs="Arial"/>
                <w:b/>
                <w:bCs/>
                <w:color w:val="000000"/>
                <w:sz w:val="36"/>
                <w:szCs w:val="36"/>
              </w:rPr>
            </w:pPr>
            <w:r w:rsidRPr="00385B16">
              <w:rPr>
                <w:rFonts w:ascii="Calibri" w:hAnsi="Calibri" w:cs="Arial"/>
                <w:b/>
                <w:bCs/>
                <w:color w:val="000000"/>
                <w:sz w:val="36"/>
                <w:szCs w:val="36"/>
              </w:rPr>
              <w:lastRenderedPageBreak/>
              <w:t>Finance &amp; Budget Committee Meeting</w:t>
            </w:r>
          </w:p>
        </w:tc>
      </w:tr>
      <w:tr w:rsidR="00385B16" w:rsidRPr="00385B16" w:rsidTr="00752B9A">
        <w:trPr>
          <w:trHeight w:val="252"/>
        </w:trPr>
        <w:tc>
          <w:tcPr>
            <w:tcW w:w="11520" w:type="dxa"/>
            <w:gridSpan w:val="6"/>
            <w:tcBorders>
              <w:top w:val="nil"/>
              <w:left w:val="nil"/>
              <w:bottom w:val="nil"/>
              <w:right w:val="nil"/>
            </w:tcBorders>
            <w:shd w:val="clear" w:color="auto" w:fill="auto"/>
            <w:noWrap/>
            <w:vAlign w:val="center"/>
            <w:hideMark/>
          </w:tcPr>
          <w:p w:rsidR="00385B16" w:rsidRPr="00385B16" w:rsidRDefault="00385B16" w:rsidP="00385B16">
            <w:pPr>
              <w:jc w:val="center"/>
              <w:rPr>
                <w:rFonts w:ascii="Calibri" w:hAnsi="Calibri" w:cs="Arial"/>
                <w:b/>
                <w:bCs/>
                <w:color w:val="000000"/>
                <w:sz w:val="36"/>
                <w:szCs w:val="36"/>
              </w:rPr>
            </w:pPr>
            <w:r w:rsidRPr="00385B16">
              <w:rPr>
                <w:rFonts w:ascii="Calibri" w:hAnsi="Calibri" w:cs="Arial"/>
                <w:b/>
                <w:bCs/>
                <w:color w:val="000000"/>
                <w:sz w:val="36"/>
                <w:szCs w:val="36"/>
              </w:rPr>
              <w:t xml:space="preserve">   Fiscal Highlights</w:t>
            </w:r>
          </w:p>
        </w:tc>
      </w:tr>
      <w:tr w:rsidR="00385B16" w:rsidRPr="00385B16" w:rsidTr="00752B9A">
        <w:trPr>
          <w:trHeight w:val="333"/>
        </w:trPr>
        <w:tc>
          <w:tcPr>
            <w:tcW w:w="11520" w:type="dxa"/>
            <w:gridSpan w:val="6"/>
            <w:tcBorders>
              <w:top w:val="nil"/>
              <w:left w:val="nil"/>
              <w:bottom w:val="nil"/>
              <w:right w:val="nil"/>
            </w:tcBorders>
            <w:shd w:val="clear" w:color="auto" w:fill="auto"/>
            <w:noWrap/>
            <w:vAlign w:val="center"/>
            <w:hideMark/>
          </w:tcPr>
          <w:p w:rsidR="00385B16" w:rsidRPr="00385B16" w:rsidRDefault="00385B16" w:rsidP="00385B16">
            <w:pPr>
              <w:jc w:val="center"/>
              <w:rPr>
                <w:rFonts w:ascii="Calibri" w:hAnsi="Calibri" w:cs="Arial"/>
                <w:b/>
                <w:bCs/>
                <w:color w:val="000000"/>
                <w:sz w:val="36"/>
                <w:szCs w:val="36"/>
              </w:rPr>
            </w:pPr>
            <w:r w:rsidRPr="00385B16">
              <w:rPr>
                <w:rFonts w:ascii="Calibri" w:hAnsi="Calibri" w:cs="Arial"/>
                <w:b/>
                <w:bCs/>
                <w:color w:val="000000"/>
                <w:sz w:val="36"/>
                <w:szCs w:val="36"/>
              </w:rPr>
              <w:t>Tuesday, September 20, 2016</w:t>
            </w:r>
          </w:p>
        </w:tc>
      </w:tr>
      <w:tr w:rsidR="00385B16" w:rsidRPr="00385B16" w:rsidTr="00752B9A">
        <w:trPr>
          <w:trHeight w:val="420"/>
        </w:trPr>
        <w:tc>
          <w:tcPr>
            <w:tcW w:w="11520" w:type="dxa"/>
            <w:gridSpan w:val="6"/>
            <w:tcBorders>
              <w:top w:val="nil"/>
              <w:left w:val="nil"/>
              <w:bottom w:val="nil"/>
              <w:right w:val="nil"/>
            </w:tcBorders>
            <w:shd w:val="clear" w:color="auto" w:fill="auto"/>
            <w:vAlign w:val="bottom"/>
            <w:hideMark/>
          </w:tcPr>
          <w:p w:rsidR="00385B16" w:rsidRPr="00385B16" w:rsidRDefault="00385B16" w:rsidP="00385B16">
            <w:pPr>
              <w:jc w:val="center"/>
              <w:rPr>
                <w:rFonts w:ascii="Wide Latin" w:hAnsi="Wide Latin" w:cs="Arial"/>
                <w:color w:val="000000"/>
              </w:rPr>
            </w:pPr>
            <w:r w:rsidRPr="00385B16">
              <w:rPr>
                <w:rFonts w:ascii="Wide Latin" w:hAnsi="Wide Latin" w:cs="Arial"/>
                <w:color w:val="000000"/>
              </w:rPr>
              <w:t>Revenue, Support &amp; Expenses</w:t>
            </w:r>
          </w:p>
        </w:tc>
      </w:tr>
      <w:tr w:rsidR="00385B16" w:rsidRPr="00385B16" w:rsidTr="00752B9A">
        <w:trPr>
          <w:trHeight w:val="630"/>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rFonts w:ascii="Calibri" w:hAnsi="Calibri" w:cs="Arial"/>
                <w:color w:val="000000"/>
              </w:rPr>
              <w:t xml:space="preserve"> </w:t>
            </w:r>
            <w:r w:rsidRPr="00385B16">
              <w:rPr>
                <w:rFonts w:ascii="Calibri" w:hAnsi="Calibri" w:cs="Arial"/>
                <w:b/>
                <w:bCs/>
                <w:color w:val="000000"/>
              </w:rPr>
              <w:t xml:space="preserve">HRI - Clinical Services </w:t>
            </w:r>
            <w:r w:rsidRPr="00385B16">
              <w:rPr>
                <w:rFonts w:ascii="Calibri" w:hAnsi="Calibri" w:cs="Arial"/>
                <w:color w:val="000000"/>
              </w:rPr>
              <w:t xml:space="preserve">(07/2016 to 06/2017) Renewal documentation received and contract award in the amount of $10,000. </w:t>
            </w:r>
          </w:p>
        </w:tc>
      </w:tr>
      <w:tr w:rsidR="00385B16" w:rsidRPr="00385B16" w:rsidTr="00752B9A">
        <w:trPr>
          <w:trHeight w:val="990"/>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rFonts w:ascii="Calibri" w:hAnsi="Calibri" w:cs="Arial"/>
                <w:color w:val="000000"/>
              </w:rPr>
              <w:t xml:space="preserve"> </w:t>
            </w:r>
            <w:r w:rsidRPr="00385B16">
              <w:rPr>
                <w:rFonts w:ascii="Calibri" w:hAnsi="Calibri" w:cs="Arial"/>
                <w:b/>
                <w:bCs/>
                <w:color w:val="000000"/>
              </w:rPr>
              <w:t>Tobacco-Free Program</w:t>
            </w:r>
            <w:r w:rsidRPr="00385B16">
              <w:rPr>
                <w:rFonts w:ascii="Calibri" w:hAnsi="Calibri" w:cs="Arial"/>
                <w:color w:val="000000"/>
              </w:rPr>
              <w:t xml:space="preserve"> (07/2016 to 06/2017) Renewal documentation for the new contract 16/17 year has been submitted for approval. Budget remains the same at $319,000. During the month of July'16, received $79,750 grant advance payment.</w:t>
            </w:r>
          </w:p>
        </w:tc>
      </w:tr>
      <w:tr w:rsidR="00385B16" w:rsidRPr="00385B16" w:rsidTr="00752B9A">
        <w:trPr>
          <w:trHeight w:val="660"/>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rFonts w:ascii="Calibri" w:hAnsi="Calibri" w:cs="Arial"/>
                <w:color w:val="000000"/>
              </w:rPr>
              <w:t xml:space="preserve"> </w:t>
            </w:r>
            <w:r w:rsidRPr="00385B16">
              <w:rPr>
                <w:rFonts w:ascii="Calibri" w:hAnsi="Calibri" w:cs="Arial"/>
                <w:b/>
                <w:bCs/>
                <w:color w:val="000000"/>
              </w:rPr>
              <w:t>Navigator Program</w:t>
            </w:r>
            <w:r w:rsidRPr="00385B16">
              <w:rPr>
                <w:rFonts w:ascii="Calibri" w:hAnsi="Calibri" w:cs="Arial"/>
                <w:color w:val="000000"/>
              </w:rPr>
              <w:t xml:space="preserve"> (10/2016 to 09/2017) Renewal documentation for the new contract 16/17 year have been submitted for approval. Budget remains the same at $315,000. </w:t>
            </w:r>
          </w:p>
        </w:tc>
      </w:tr>
      <w:tr w:rsidR="00385B16" w:rsidRPr="00385B16" w:rsidTr="00752B9A">
        <w:trPr>
          <w:trHeight w:val="675"/>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color w:val="000000"/>
              </w:rPr>
              <w:t xml:space="preserve"> </w:t>
            </w:r>
            <w:r w:rsidRPr="00385B16">
              <w:rPr>
                <w:b/>
                <w:bCs/>
                <w:color w:val="000000"/>
              </w:rPr>
              <w:t xml:space="preserve">Columbia County 2017 Budget Request - </w:t>
            </w:r>
            <w:r w:rsidRPr="00385B16">
              <w:rPr>
                <w:color w:val="000000"/>
              </w:rPr>
              <w:t>Requested $54,000 for the 2017 CARTS &amp; Receptionist, an increase of $5,000 from the 2016 County contribution of $49,000.</w:t>
            </w:r>
          </w:p>
        </w:tc>
      </w:tr>
      <w:tr w:rsidR="00385B16" w:rsidRPr="00385B16" w:rsidTr="00752B9A">
        <w:trPr>
          <w:trHeight w:val="975"/>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color w:val="000000"/>
              </w:rPr>
              <w:t xml:space="preserve"> </w:t>
            </w:r>
            <w:r w:rsidRPr="00385B16">
              <w:rPr>
                <w:b/>
                <w:bCs/>
                <w:color w:val="000000"/>
              </w:rPr>
              <w:t xml:space="preserve">Dyson Foundation - </w:t>
            </w:r>
            <w:r w:rsidRPr="00385B16">
              <w:rPr>
                <w:color w:val="000000"/>
              </w:rPr>
              <w:t xml:space="preserve">Claire contacted Dyson Foundation regarding their interest in renewing $50,000 prescription Rx access grant for the 2016-2017 two year period. Discussion on going, but Foundation is requesting a reduction in future budgets request to assist </w:t>
            </w:r>
          </w:p>
        </w:tc>
      </w:tr>
      <w:tr w:rsidR="00385B16" w:rsidRPr="00385B16" w:rsidTr="00752B9A">
        <w:trPr>
          <w:trHeight w:val="720"/>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color w:val="000000"/>
              </w:rPr>
              <w:t xml:space="preserve"> </w:t>
            </w:r>
            <w:r w:rsidRPr="00385B16">
              <w:rPr>
                <w:b/>
                <w:bCs/>
                <w:color w:val="000000"/>
              </w:rPr>
              <w:t xml:space="preserve">Greene &amp; Columbia County Cancer Funds - </w:t>
            </w:r>
            <w:r w:rsidRPr="00385B16">
              <w:rPr>
                <w:rFonts w:ascii="Calibri" w:hAnsi="Calibri" w:cs="Arial"/>
                <w:color w:val="000000"/>
              </w:rPr>
              <w:t>Received the following 1) The Bank of Greene County Charitable Foundation donated $1,000, and 2) Blackhead Mountain Lodge Ladies Golf Tournament raised $2,828.</w:t>
            </w:r>
          </w:p>
        </w:tc>
      </w:tr>
      <w:tr w:rsidR="00385B16" w:rsidRPr="00385B16" w:rsidTr="00752B9A">
        <w:trPr>
          <w:trHeight w:val="510"/>
        </w:trPr>
        <w:tc>
          <w:tcPr>
            <w:tcW w:w="11520" w:type="dxa"/>
            <w:gridSpan w:val="6"/>
            <w:tcBorders>
              <w:top w:val="nil"/>
              <w:left w:val="nil"/>
              <w:bottom w:val="nil"/>
              <w:right w:val="nil"/>
            </w:tcBorders>
            <w:shd w:val="clear" w:color="auto" w:fill="auto"/>
            <w:vAlign w:val="bottom"/>
            <w:hideMark/>
          </w:tcPr>
          <w:p w:rsidR="00385B16" w:rsidRPr="00385B16" w:rsidRDefault="00385B16" w:rsidP="00385B16">
            <w:pPr>
              <w:jc w:val="center"/>
              <w:rPr>
                <w:rFonts w:ascii="Wide Latin" w:hAnsi="Wide Latin" w:cs="Arial"/>
                <w:color w:val="000000"/>
              </w:rPr>
            </w:pPr>
            <w:r w:rsidRPr="00385B16">
              <w:rPr>
                <w:rFonts w:ascii="Wide Latin" w:hAnsi="Wide Latin" w:cs="Arial"/>
                <w:color w:val="000000"/>
              </w:rPr>
              <w:t>Grant Receivable</w:t>
            </w:r>
          </w:p>
        </w:tc>
      </w:tr>
      <w:tr w:rsidR="00385B16" w:rsidRPr="00385B16" w:rsidTr="00752B9A">
        <w:trPr>
          <w:trHeight w:val="660"/>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color w:val="000000"/>
              </w:rPr>
              <w:t xml:space="preserve"> </w:t>
            </w:r>
            <w:r w:rsidRPr="00385B16">
              <w:rPr>
                <w:rFonts w:ascii="Calibri" w:hAnsi="Calibri" w:cs="Arial"/>
                <w:b/>
                <w:bCs/>
                <w:color w:val="000000"/>
              </w:rPr>
              <w:t xml:space="preserve">Grant Receivable - </w:t>
            </w:r>
            <w:r w:rsidRPr="00385B16">
              <w:rPr>
                <w:rFonts w:ascii="Calibri" w:hAnsi="Calibri" w:cs="Arial"/>
                <w:color w:val="000000"/>
              </w:rPr>
              <w:t xml:space="preserve">  As of August 31, 2016 our Grant Receivable is $182,097. Expectation is that we will collect on all receivables. Not aware of any issues. Summary as follows:</w:t>
            </w: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rPr>
                <w:rFonts w:ascii="Wingdings" w:hAnsi="Wingdings" w:cs="Arial"/>
                <w:color w:val="00000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color w:val="000000"/>
              </w:rPr>
            </w:pPr>
            <w:r w:rsidRPr="00385B16">
              <w:rPr>
                <w:color w:val="000000"/>
              </w:rPr>
              <w:t>Amount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center"/>
              <w:rPr>
                <w:color w:val="000000"/>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right"/>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Rural Health Network Program</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38,578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Navigator Health Exchange Program</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25,006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Tobacco-Free Program</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44,524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Cancer Services Program</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31,575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Transportation-Medicaid</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24,718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Other Columbia County Programs</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16,132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1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Greene County DSS</w:t>
            </w:r>
          </w:p>
        </w:tc>
        <w:tc>
          <w:tcPr>
            <w:tcW w:w="1897" w:type="dxa"/>
            <w:tcBorders>
              <w:top w:val="nil"/>
              <w:left w:val="nil"/>
              <w:bottom w:val="nil"/>
              <w:right w:val="nil"/>
            </w:tcBorders>
            <w:shd w:val="clear" w:color="auto" w:fill="auto"/>
            <w:noWrap/>
            <w:vAlign w:val="bottom"/>
            <w:hideMark/>
          </w:tcPr>
          <w:p w:rsidR="00385B16" w:rsidRPr="00385B16" w:rsidRDefault="00385B16" w:rsidP="00385B16">
            <w:pPr>
              <w:jc w:val="right"/>
              <w:rPr>
                <w:rFonts w:ascii="Arial" w:hAnsi="Arial" w:cs="Arial"/>
                <w:color w:val="000000"/>
                <w:sz w:val="22"/>
                <w:szCs w:val="22"/>
              </w:rPr>
            </w:pPr>
            <w:r w:rsidRPr="00385B16">
              <w:rPr>
                <w:rFonts w:ascii="Arial" w:hAnsi="Arial" w:cs="Arial"/>
                <w:color w:val="000000"/>
                <w:sz w:val="22"/>
                <w:szCs w:val="22"/>
              </w:rPr>
              <w:t xml:space="preserve">1,565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rFonts w:ascii="Arial" w:hAnsi="Arial" w:cs="Arial"/>
                <w:color w:val="000000"/>
                <w:sz w:val="22"/>
                <w:szCs w:val="22"/>
              </w:rPr>
            </w:pPr>
          </w:p>
        </w:tc>
      </w:tr>
      <w:tr w:rsidR="00385B16" w:rsidRPr="00385B16" w:rsidTr="00752B9A">
        <w:trPr>
          <w:trHeight w:val="330"/>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3794" w:type="dxa"/>
            <w:gridSpan w:val="2"/>
            <w:tcBorders>
              <w:top w:val="nil"/>
              <w:left w:val="nil"/>
              <w:bottom w:val="nil"/>
              <w:right w:val="nil"/>
            </w:tcBorders>
            <w:shd w:val="clear" w:color="auto" w:fill="auto"/>
            <w:hideMark/>
          </w:tcPr>
          <w:p w:rsidR="00385B16" w:rsidRPr="00385B16" w:rsidRDefault="00385B16" w:rsidP="00385B16">
            <w:pPr>
              <w:jc w:val="center"/>
              <w:rPr>
                <w:color w:val="000000"/>
              </w:rPr>
            </w:pPr>
            <w:r w:rsidRPr="00385B16">
              <w:rPr>
                <w:color w:val="000000"/>
              </w:rPr>
              <w:t>Total Grant Receivable</w:t>
            </w: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color w:val="000000"/>
              </w:rPr>
            </w:pPr>
          </w:p>
        </w:tc>
        <w:tc>
          <w:tcPr>
            <w:tcW w:w="1897" w:type="dxa"/>
            <w:tcBorders>
              <w:top w:val="single" w:sz="4" w:space="0" w:color="auto"/>
              <w:left w:val="nil"/>
              <w:bottom w:val="double" w:sz="6" w:space="0" w:color="auto"/>
              <w:right w:val="nil"/>
            </w:tcBorders>
            <w:shd w:val="clear" w:color="auto" w:fill="auto"/>
            <w:vAlign w:val="bottom"/>
            <w:hideMark/>
          </w:tcPr>
          <w:p w:rsidR="00385B16" w:rsidRPr="00385B16" w:rsidRDefault="00385B16" w:rsidP="00385B16">
            <w:pPr>
              <w:jc w:val="right"/>
              <w:rPr>
                <w:color w:val="000000"/>
              </w:rPr>
            </w:pPr>
            <w:r w:rsidRPr="00385B16">
              <w:rPr>
                <w:color w:val="000000"/>
              </w:rPr>
              <w:t xml:space="preserve">$182,097 </w:t>
            </w: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color w:val="000000"/>
              </w:rPr>
            </w:pPr>
          </w:p>
        </w:tc>
      </w:tr>
      <w:tr w:rsidR="00385B16" w:rsidRPr="00385B16" w:rsidTr="00752B9A">
        <w:trPr>
          <w:trHeight w:val="1485"/>
        </w:trPr>
        <w:tc>
          <w:tcPr>
            <w:tcW w:w="295" w:type="dxa"/>
            <w:tcBorders>
              <w:top w:val="nil"/>
              <w:left w:val="nil"/>
              <w:bottom w:val="nil"/>
              <w:right w:val="nil"/>
            </w:tcBorders>
            <w:shd w:val="clear" w:color="auto" w:fill="auto"/>
            <w:noWrap/>
            <w:vAlign w:val="bottom"/>
            <w:hideMark/>
          </w:tcPr>
          <w:p w:rsidR="00385B16" w:rsidRPr="00385B16" w:rsidRDefault="00385B16" w:rsidP="00385B16">
            <w:pPr>
              <w:rPr>
                <w:rFonts w:ascii="Arial" w:hAnsi="Arial" w:cs="Arial"/>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79"/>
            </w:tblGrid>
            <w:tr w:rsidR="00385B16" w:rsidRPr="00385B16">
              <w:trPr>
                <w:trHeight w:val="1485"/>
                <w:tblCellSpacing w:w="0" w:type="dxa"/>
              </w:trPr>
              <w:tc>
                <w:tcPr>
                  <w:tcW w:w="600" w:type="dxa"/>
                  <w:tcBorders>
                    <w:top w:val="nil"/>
                    <w:left w:val="nil"/>
                    <w:bottom w:val="nil"/>
                    <w:right w:val="nil"/>
                  </w:tcBorders>
                  <w:shd w:val="clear" w:color="auto" w:fill="auto"/>
                  <w:vAlign w:val="bottom"/>
                  <w:hideMark/>
                </w:tcPr>
                <w:p w:rsidR="00385B16" w:rsidRPr="00385B16" w:rsidRDefault="00385B16" w:rsidP="00385B16">
                  <w:pPr>
                    <w:rPr>
                      <w:rFonts w:ascii="Arial" w:hAnsi="Arial" w:cs="Arial"/>
                      <w:color w:val="000000"/>
                      <w:sz w:val="22"/>
                      <w:szCs w:val="22"/>
                    </w:rPr>
                  </w:pPr>
                </w:p>
              </w:tc>
            </w:tr>
          </w:tbl>
          <w:p w:rsidR="00385B16" w:rsidRPr="00385B16" w:rsidRDefault="00385B16" w:rsidP="00385B16">
            <w:pPr>
              <w:rPr>
                <w:rFonts w:ascii="Arial" w:hAnsi="Arial" w:cs="Arial"/>
                <w:color w:val="000000"/>
                <w:sz w:val="22"/>
                <w:szCs w:val="22"/>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752B9A" w:rsidP="00385B16">
            <w:pPr>
              <w:jc w:val="center"/>
              <w:rPr>
                <w:sz w:val="20"/>
                <w:szCs w:val="20"/>
              </w:rPr>
            </w:pPr>
            <w:bookmarkStart w:id="0" w:name="_GoBack"/>
            <w:r w:rsidRPr="00385B16">
              <w:rPr>
                <w:rFonts w:ascii="Arial" w:hAnsi="Arial" w:cs="Arial"/>
                <w:noProof/>
                <w:color w:val="000000"/>
                <w:sz w:val="22"/>
                <w:szCs w:val="22"/>
              </w:rPr>
              <w:drawing>
                <wp:anchor distT="0" distB="0" distL="114300" distR="114300" simplePos="0" relativeHeight="251657216" behindDoc="0" locked="0" layoutInCell="1" allowOverlap="1" wp14:anchorId="05C9189A" wp14:editId="0EC17310">
                  <wp:simplePos x="0" y="0"/>
                  <wp:positionH relativeFrom="column">
                    <wp:posOffset>-3188335</wp:posOffset>
                  </wp:positionH>
                  <wp:positionV relativeFrom="paragraph">
                    <wp:posOffset>57785</wp:posOffset>
                  </wp:positionV>
                  <wp:extent cx="6029325" cy="2409825"/>
                  <wp:effectExtent l="0" t="0" r="3175" b="14605"/>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bookmarkEnd w:id="0"/>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sz w:val="20"/>
                <w:szCs w:val="20"/>
              </w:rPr>
            </w:pPr>
          </w:p>
        </w:tc>
      </w:tr>
      <w:tr w:rsidR="00385B16" w:rsidRPr="00385B16" w:rsidTr="00752B9A">
        <w:trPr>
          <w:trHeight w:val="1485"/>
        </w:trPr>
        <w:tc>
          <w:tcPr>
            <w:tcW w:w="295"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1897" w:type="dxa"/>
            <w:tcBorders>
              <w:top w:val="nil"/>
              <w:left w:val="nil"/>
              <w:bottom w:val="nil"/>
              <w:right w:val="nil"/>
            </w:tcBorders>
            <w:shd w:val="clear" w:color="auto" w:fill="auto"/>
            <w:vAlign w:val="bottom"/>
            <w:hideMark/>
          </w:tcPr>
          <w:p w:rsidR="00385B16" w:rsidRPr="00385B16" w:rsidRDefault="00385B16" w:rsidP="00385B16">
            <w:pPr>
              <w:jc w:val="center"/>
              <w:rPr>
                <w:sz w:val="20"/>
                <w:szCs w:val="20"/>
              </w:rPr>
            </w:pPr>
          </w:p>
        </w:tc>
        <w:tc>
          <w:tcPr>
            <w:tcW w:w="3637" w:type="dxa"/>
            <w:tcBorders>
              <w:top w:val="nil"/>
              <w:left w:val="nil"/>
              <w:bottom w:val="nil"/>
              <w:right w:val="nil"/>
            </w:tcBorders>
            <w:shd w:val="clear" w:color="auto" w:fill="auto"/>
            <w:vAlign w:val="bottom"/>
            <w:hideMark/>
          </w:tcPr>
          <w:p w:rsidR="00385B16" w:rsidRPr="00385B16" w:rsidRDefault="00385B16" w:rsidP="00385B16">
            <w:pPr>
              <w:jc w:val="right"/>
              <w:rPr>
                <w:sz w:val="20"/>
                <w:szCs w:val="20"/>
              </w:rPr>
            </w:pPr>
          </w:p>
        </w:tc>
      </w:tr>
      <w:tr w:rsidR="00385B16" w:rsidRPr="00385B16" w:rsidTr="00752B9A">
        <w:trPr>
          <w:trHeight w:val="435"/>
        </w:trPr>
        <w:tc>
          <w:tcPr>
            <w:tcW w:w="11520" w:type="dxa"/>
            <w:gridSpan w:val="6"/>
            <w:tcBorders>
              <w:top w:val="nil"/>
              <w:left w:val="nil"/>
              <w:bottom w:val="nil"/>
              <w:right w:val="nil"/>
            </w:tcBorders>
            <w:shd w:val="clear" w:color="auto" w:fill="auto"/>
            <w:vAlign w:val="bottom"/>
            <w:hideMark/>
          </w:tcPr>
          <w:p w:rsidR="00385B16" w:rsidRPr="00385B16" w:rsidRDefault="00385B16" w:rsidP="00385B16">
            <w:pPr>
              <w:jc w:val="center"/>
              <w:rPr>
                <w:rFonts w:ascii="Wide Latin" w:hAnsi="Wide Latin" w:cs="Arial"/>
                <w:color w:val="000000"/>
              </w:rPr>
            </w:pPr>
            <w:r w:rsidRPr="00385B16">
              <w:rPr>
                <w:rFonts w:ascii="Wide Latin" w:hAnsi="Wide Latin" w:cs="Arial"/>
                <w:color w:val="000000"/>
              </w:rPr>
              <w:t>Statement of Financial Position</w:t>
            </w:r>
          </w:p>
        </w:tc>
      </w:tr>
      <w:tr w:rsidR="00385B16" w:rsidRPr="00385B16" w:rsidTr="00752B9A">
        <w:trPr>
          <w:trHeight w:val="1095"/>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lastRenderedPageBreak/>
              <w:t></w:t>
            </w:r>
            <w:r w:rsidRPr="00385B16">
              <w:rPr>
                <w:b/>
                <w:bCs/>
                <w:color w:val="000000"/>
              </w:rPr>
              <w:t xml:space="preserve"> Cash</w:t>
            </w:r>
            <w:r w:rsidRPr="00385B16">
              <w:rPr>
                <w:rFonts w:ascii="Calibri" w:hAnsi="Calibri" w:cs="Arial"/>
                <w:color w:val="000000"/>
              </w:rPr>
              <w:t xml:space="preserve"> -  Cash balance in the operating checking account started the year off with $316K and today's balance is $395K. Low balance on July 11th was $199K &amp; the high balance on August 31st was $479K. Transferred $120,000 to Essex Investment on March 18th.</w:t>
            </w:r>
          </w:p>
        </w:tc>
      </w:tr>
      <w:tr w:rsidR="00385B16" w:rsidRPr="00385B16" w:rsidTr="00752B9A">
        <w:trPr>
          <w:trHeight w:val="1620"/>
        </w:trPr>
        <w:tc>
          <w:tcPr>
            <w:tcW w:w="295" w:type="dxa"/>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p>
        </w:tc>
        <w:tc>
          <w:tcPr>
            <w:tcW w:w="1897" w:type="dxa"/>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3637" w:type="dxa"/>
            <w:tcBorders>
              <w:top w:val="nil"/>
              <w:left w:val="nil"/>
              <w:bottom w:val="nil"/>
              <w:right w:val="nil"/>
            </w:tcBorders>
            <w:shd w:val="clear" w:color="auto" w:fill="auto"/>
            <w:hideMark/>
          </w:tcPr>
          <w:p w:rsidR="00385B16" w:rsidRPr="00385B16" w:rsidRDefault="00385B16" w:rsidP="00385B16">
            <w:pPr>
              <w:rPr>
                <w:sz w:val="20"/>
                <w:szCs w:val="20"/>
              </w:rPr>
            </w:pPr>
            <w:r w:rsidRPr="00385B16">
              <w:rPr>
                <w:rFonts w:ascii="Wingdings" w:hAnsi="Wingdings" w:cs="Arial"/>
                <w:noProof/>
                <w:color w:val="000000"/>
              </w:rPr>
              <w:drawing>
                <wp:anchor distT="0" distB="0" distL="114300" distR="114300" simplePos="0" relativeHeight="251658240" behindDoc="0" locked="0" layoutInCell="1" allowOverlap="1" wp14:anchorId="3B4ED986" wp14:editId="5AFBB97A">
                  <wp:simplePos x="0" y="0"/>
                  <wp:positionH relativeFrom="column">
                    <wp:posOffset>-4541520</wp:posOffset>
                  </wp:positionH>
                  <wp:positionV relativeFrom="paragraph">
                    <wp:posOffset>-77470</wp:posOffset>
                  </wp:positionV>
                  <wp:extent cx="6029325" cy="2295525"/>
                  <wp:effectExtent l="0" t="0" r="3175" b="1524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385B16" w:rsidRPr="00385B16" w:rsidTr="00752B9A">
        <w:trPr>
          <w:trHeight w:val="1332"/>
        </w:trPr>
        <w:tc>
          <w:tcPr>
            <w:tcW w:w="295"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3637" w:type="dxa"/>
            <w:tcBorders>
              <w:top w:val="nil"/>
              <w:left w:val="nil"/>
              <w:bottom w:val="nil"/>
              <w:right w:val="nil"/>
            </w:tcBorders>
            <w:shd w:val="clear" w:color="auto" w:fill="auto"/>
            <w:hideMark/>
          </w:tcPr>
          <w:p w:rsidR="00385B16" w:rsidRPr="00385B16" w:rsidRDefault="00385B16" w:rsidP="00385B16">
            <w:pPr>
              <w:rPr>
                <w:sz w:val="20"/>
                <w:szCs w:val="20"/>
              </w:rPr>
            </w:pPr>
          </w:p>
        </w:tc>
      </w:tr>
      <w:tr w:rsidR="00385B16" w:rsidRPr="00385B16" w:rsidTr="00752B9A">
        <w:trPr>
          <w:trHeight w:val="645"/>
        </w:trPr>
        <w:tc>
          <w:tcPr>
            <w:tcW w:w="295"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1897" w:type="dxa"/>
            <w:tcBorders>
              <w:top w:val="nil"/>
              <w:left w:val="nil"/>
              <w:bottom w:val="nil"/>
              <w:right w:val="nil"/>
            </w:tcBorders>
            <w:shd w:val="clear" w:color="auto" w:fill="auto"/>
            <w:hideMark/>
          </w:tcPr>
          <w:p w:rsidR="00385B16" w:rsidRPr="00385B16" w:rsidRDefault="00385B16" w:rsidP="00385B16">
            <w:pPr>
              <w:rPr>
                <w:sz w:val="20"/>
                <w:szCs w:val="20"/>
              </w:rPr>
            </w:pPr>
          </w:p>
        </w:tc>
        <w:tc>
          <w:tcPr>
            <w:tcW w:w="3637" w:type="dxa"/>
            <w:tcBorders>
              <w:top w:val="nil"/>
              <w:left w:val="nil"/>
              <w:bottom w:val="nil"/>
              <w:right w:val="nil"/>
            </w:tcBorders>
            <w:shd w:val="clear" w:color="auto" w:fill="auto"/>
            <w:hideMark/>
          </w:tcPr>
          <w:p w:rsidR="00385B16" w:rsidRPr="00385B16" w:rsidRDefault="00385B16" w:rsidP="00385B16">
            <w:pPr>
              <w:rPr>
                <w:sz w:val="20"/>
                <w:szCs w:val="20"/>
              </w:rPr>
            </w:pPr>
          </w:p>
        </w:tc>
      </w:tr>
      <w:tr w:rsidR="00385B16" w:rsidRPr="00385B16" w:rsidTr="00752B9A">
        <w:trPr>
          <w:trHeight w:val="1233"/>
        </w:trPr>
        <w:tc>
          <w:tcPr>
            <w:tcW w:w="11520" w:type="dxa"/>
            <w:gridSpan w:val="6"/>
            <w:tcBorders>
              <w:top w:val="nil"/>
              <w:left w:val="nil"/>
              <w:bottom w:val="nil"/>
              <w:right w:val="nil"/>
            </w:tcBorders>
            <w:shd w:val="clear" w:color="auto" w:fill="auto"/>
            <w:hideMark/>
          </w:tcPr>
          <w:p w:rsidR="00385B16" w:rsidRPr="00385B16" w:rsidRDefault="00385B16" w:rsidP="00385B16">
            <w:pPr>
              <w:rPr>
                <w:rFonts w:ascii="Wingdings" w:hAnsi="Wingdings" w:cs="Arial"/>
                <w:color w:val="000000"/>
              </w:rPr>
            </w:pPr>
            <w:r w:rsidRPr="00385B16">
              <w:rPr>
                <w:rFonts w:ascii="Wingdings" w:hAnsi="Wingdings" w:cs="Arial"/>
                <w:color w:val="000000"/>
              </w:rPr>
              <w:t></w:t>
            </w:r>
            <w:r w:rsidRPr="00385B16">
              <w:rPr>
                <w:b/>
                <w:bCs/>
                <w:color w:val="000000"/>
              </w:rPr>
              <w:t xml:space="preserve"> Investment - Essex National Securities</w:t>
            </w:r>
            <w:r w:rsidRPr="00385B16">
              <w:rPr>
                <w:rFonts w:ascii="Calibri" w:hAnsi="Calibri" w:cs="Arial"/>
                <w:color w:val="000000"/>
              </w:rPr>
              <w:t xml:space="preserve"> - As of August 31, 2016, inves</w:t>
            </w:r>
            <w:r>
              <w:rPr>
                <w:rFonts w:ascii="Calibri" w:hAnsi="Calibri" w:cs="Arial"/>
                <w:color w:val="000000"/>
              </w:rPr>
              <w:t>tment account value is $151,777</w:t>
            </w:r>
            <w:r w:rsidRPr="00385B16">
              <w:rPr>
                <w:rFonts w:ascii="Calibri" w:hAnsi="Calibri" w:cs="Arial"/>
                <w:color w:val="000000"/>
              </w:rPr>
              <w:t>. Dur</w:t>
            </w:r>
            <w:r>
              <w:rPr>
                <w:rFonts w:ascii="Calibri" w:hAnsi="Calibri" w:cs="Arial"/>
                <w:color w:val="000000"/>
              </w:rPr>
              <w:t>ing the months of July &amp; August</w:t>
            </w:r>
            <w:r w:rsidRPr="00385B16">
              <w:rPr>
                <w:rFonts w:ascii="Calibri" w:hAnsi="Calibri" w:cs="Arial"/>
                <w:color w:val="000000"/>
              </w:rPr>
              <w:t xml:space="preserve"> 2016, 1) on August 25th, the $37,000 Peoples United Bank CD (Rate of 0.40%) matured with full amount reinvested equally in the six mutual funds on August 30th, and 2) invested $12,000/month in the six different mutual funds at $2,000/fund.</w:t>
            </w:r>
          </w:p>
        </w:tc>
      </w:tr>
    </w:tbl>
    <w:tbl>
      <w:tblPr>
        <w:tblpPr w:leftFromText="180" w:rightFromText="180" w:vertAnchor="text" w:horzAnchor="margin" w:tblpX="-360" w:tblpY="152"/>
        <w:tblW w:w="11520" w:type="dxa"/>
        <w:tblLook w:val="04A0" w:firstRow="1" w:lastRow="0" w:firstColumn="1" w:lastColumn="0" w:noHBand="0" w:noVBand="1"/>
      </w:tblPr>
      <w:tblGrid>
        <w:gridCol w:w="2340"/>
        <w:gridCol w:w="1350"/>
        <w:gridCol w:w="1464"/>
        <w:gridCol w:w="1236"/>
        <w:gridCol w:w="1980"/>
        <w:gridCol w:w="1800"/>
        <w:gridCol w:w="1350"/>
      </w:tblGrid>
      <w:tr w:rsidR="00990131" w:rsidRPr="00385B16" w:rsidTr="00752B9A">
        <w:trPr>
          <w:trHeight w:val="345"/>
        </w:trPr>
        <w:tc>
          <w:tcPr>
            <w:tcW w:w="2340" w:type="dxa"/>
            <w:tcBorders>
              <w:top w:val="nil"/>
              <w:left w:val="nil"/>
              <w:bottom w:val="nil"/>
              <w:right w:val="nil"/>
            </w:tcBorders>
            <w:shd w:val="clear" w:color="auto" w:fill="auto"/>
            <w:noWrap/>
            <w:vAlign w:val="bottom"/>
            <w:hideMark/>
          </w:tcPr>
          <w:p w:rsidR="00990131" w:rsidRPr="00385B16" w:rsidRDefault="00990131" w:rsidP="00752B9A">
            <w:pPr>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22"/>
                <w:szCs w:val="22"/>
              </w:rPr>
            </w:pPr>
            <w:r w:rsidRPr="00385B16">
              <w:rPr>
                <w:rFonts w:ascii="Arial" w:hAnsi="Arial" w:cs="Arial"/>
                <w:color w:val="000000"/>
                <w:sz w:val="22"/>
                <w:szCs w:val="22"/>
              </w:rPr>
              <w:t>Beginning</w:t>
            </w:r>
          </w:p>
        </w:tc>
        <w:tc>
          <w:tcPr>
            <w:tcW w:w="1464" w:type="dxa"/>
            <w:tcBorders>
              <w:top w:val="single" w:sz="4" w:space="0" w:color="auto"/>
              <w:left w:val="nil"/>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22"/>
                <w:szCs w:val="22"/>
              </w:rPr>
            </w:pPr>
            <w:r w:rsidRPr="00385B16">
              <w:rPr>
                <w:rFonts w:ascii="Arial" w:hAnsi="Arial" w:cs="Arial"/>
                <w:color w:val="000000"/>
                <w:sz w:val="22"/>
                <w:szCs w:val="22"/>
              </w:rPr>
              <w:t>Purchases</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22"/>
                <w:szCs w:val="22"/>
              </w:rPr>
            </w:pPr>
            <w:r w:rsidRPr="00385B16">
              <w:rPr>
                <w:rFonts w:ascii="Arial" w:hAnsi="Arial" w:cs="Arial"/>
                <w:color w:val="000000"/>
                <w:sz w:val="22"/>
                <w:szCs w:val="22"/>
              </w:rPr>
              <w:t>Income</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22"/>
                <w:szCs w:val="22"/>
              </w:rPr>
            </w:pPr>
            <w:r w:rsidRPr="00385B16">
              <w:rPr>
                <w:rFonts w:ascii="Arial" w:hAnsi="Arial" w:cs="Arial"/>
                <w:color w:val="000000"/>
                <w:sz w:val="22"/>
                <w:szCs w:val="22"/>
              </w:rPr>
              <w:t>Unrealized Gains</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22"/>
                <w:szCs w:val="22"/>
              </w:rPr>
            </w:pPr>
            <w:r w:rsidRPr="00385B16">
              <w:rPr>
                <w:rFonts w:ascii="Arial" w:hAnsi="Arial" w:cs="Arial"/>
                <w:color w:val="000000"/>
                <w:sz w:val="22"/>
                <w:szCs w:val="22"/>
              </w:rPr>
              <w:t>Ending Balance</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990131" w:rsidRPr="00385B16" w:rsidRDefault="00990131" w:rsidP="00752B9A">
            <w:pPr>
              <w:jc w:val="center"/>
              <w:rPr>
                <w:rFonts w:ascii="Arial" w:hAnsi="Arial" w:cs="Arial"/>
                <w:color w:val="000000"/>
                <w:sz w:val="16"/>
                <w:szCs w:val="16"/>
              </w:rPr>
            </w:pPr>
            <w:r w:rsidRPr="00385B16">
              <w:rPr>
                <w:rFonts w:ascii="Arial" w:hAnsi="Arial" w:cs="Arial"/>
                <w:color w:val="000000"/>
                <w:sz w:val="16"/>
                <w:szCs w:val="16"/>
              </w:rPr>
              <w:t>Annual % of Return</w:t>
            </w:r>
          </w:p>
        </w:tc>
      </w:tr>
      <w:tr w:rsidR="00990131" w:rsidRPr="00385B16" w:rsidTr="00752B9A">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Cash</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151,035.72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FF0000"/>
                <w:sz w:val="22"/>
                <w:szCs w:val="22"/>
              </w:rPr>
              <w:t>(123,126.58)</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212.51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0.00 </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28,111.65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xml:space="preserve">FCISX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14,216.52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49.85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197.59 </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14,414.11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xml:space="preserve">FRUGX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14,192.14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25.47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FF0000"/>
                <w:sz w:val="22"/>
                <w:szCs w:val="22"/>
              </w:rPr>
              <w:t>(31.89)</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14,160.25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xml:space="preserve">FRGSX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14,166.67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0.00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297.93 </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14,464.60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FCSCX</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14,173.07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6.40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FF0000"/>
                <w:sz w:val="22"/>
                <w:szCs w:val="22"/>
              </w:rPr>
              <w:t>(11.89)</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14,161.18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xml:space="preserve">FSGCX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14,193.31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26.66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126.75 </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14,320.06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TEGBX</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14,180.87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14.20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FF0000"/>
                <w:sz w:val="22"/>
                <w:szCs w:val="22"/>
              </w:rPr>
              <w:t>(32.60)</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14,148.27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Frederick County Bank CD (0.45%)</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c>
          <w:tcPr>
            <w:tcW w:w="1464"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38,000.00 </w:t>
            </w:r>
          </w:p>
        </w:tc>
        <w:tc>
          <w:tcPr>
            <w:tcW w:w="1236"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28.57 </w:t>
            </w:r>
          </w:p>
        </w:tc>
        <w:tc>
          <w:tcPr>
            <w:tcW w:w="198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FF0000"/>
                <w:sz w:val="22"/>
                <w:szCs w:val="22"/>
              </w:rPr>
              <w:t>(3.42)</w:t>
            </w:r>
          </w:p>
        </w:tc>
        <w:tc>
          <w:tcPr>
            <w:tcW w:w="180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37,996.58 </w:t>
            </w:r>
          </w:p>
        </w:tc>
        <w:tc>
          <w:tcPr>
            <w:tcW w:w="1350" w:type="dxa"/>
            <w:tcBorders>
              <w:top w:val="nil"/>
              <w:left w:val="nil"/>
              <w:bottom w:val="single" w:sz="4" w:space="0" w:color="auto"/>
              <w:right w:val="single" w:sz="4" w:space="0" w:color="auto"/>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r w:rsidR="00990131" w:rsidRPr="00385B16" w:rsidTr="00752B9A">
        <w:trPr>
          <w:trHeight w:val="315"/>
        </w:trPr>
        <w:tc>
          <w:tcPr>
            <w:tcW w:w="2340" w:type="dxa"/>
            <w:tcBorders>
              <w:top w:val="nil"/>
              <w:left w:val="nil"/>
              <w:bottom w:val="nil"/>
              <w:right w:val="nil"/>
            </w:tcBorders>
            <w:shd w:val="clear" w:color="auto" w:fill="auto"/>
            <w:noWrap/>
            <w:vAlign w:val="bottom"/>
            <w:hideMark/>
          </w:tcPr>
          <w:p w:rsidR="00990131" w:rsidRPr="00385B16" w:rsidRDefault="00990131" w:rsidP="00752B9A">
            <w:pPr>
              <w:rPr>
                <w:rFonts w:ascii="Arial" w:hAnsi="Arial" w:cs="Arial"/>
                <w:color w:val="000000"/>
                <w:sz w:val="22"/>
                <w:szCs w:val="22"/>
              </w:rPr>
            </w:pPr>
          </w:p>
        </w:tc>
        <w:tc>
          <w:tcPr>
            <w:tcW w:w="1350" w:type="dxa"/>
            <w:tcBorders>
              <w:top w:val="nil"/>
              <w:left w:val="nil"/>
              <w:bottom w:val="nil"/>
              <w:right w:val="nil"/>
            </w:tcBorders>
            <w:shd w:val="clear" w:color="auto" w:fill="auto"/>
            <w:noWrap/>
            <w:vAlign w:val="bottom"/>
            <w:hideMark/>
          </w:tcPr>
          <w:p w:rsidR="00990131" w:rsidRPr="00385B16" w:rsidRDefault="00990131" w:rsidP="00752B9A">
            <w:pPr>
              <w:rPr>
                <w:sz w:val="20"/>
                <w:szCs w:val="20"/>
              </w:rPr>
            </w:pPr>
          </w:p>
        </w:tc>
        <w:tc>
          <w:tcPr>
            <w:tcW w:w="1464" w:type="dxa"/>
            <w:tcBorders>
              <w:top w:val="nil"/>
              <w:left w:val="nil"/>
              <w:bottom w:val="nil"/>
              <w:right w:val="nil"/>
            </w:tcBorders>
            <w:shd w:val="clear" w:color="auto" w:fill="auto"/>
            <w:noWrap/>
            <w:vAlign w:val="bottom"/>
            <w:hideMark/>
          </w:tcPr>
          <w:p w:rsidR="00990131" w:rsidRPr="00385B16" w:rsidRDefault="00990131" w:rsidP="00752B9A">
            <w:pPr>
              <w:rPr>
                <w:sz w:val="20"/>
                <w:szCs w:val="20"/>
              </w:rPr>
            </w:pPr>
          </w:p>
        </w:tc>
        <w:tc>
          <w:tcPr>
            <w:tcW w:w="1236" w:type="dxa"/>
            <w:tcBorders>
              <w:top w:val="nil"/>
              <w:left w:val="nil"/>
              <w:bottom w:val="nil"/>
              <w:right w:val="nil"/>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Totals</w:t>
            </w:r>
          </w:p>
        </w:tc>
        <w:tc>
          <w:tcPr>
            <w:tcW w:w="1980" w:type="dxa"/>
            <w:tcBorders>
              <w:top w:val="nil"/>
              <w:left w:val="nil"/>
              <w:bottom w:val="double" w:sz="6" w:space="0" w:color="auto"/>
              <w:right w:val="nil"/>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542.47 </w:t>
            </w:r>
          </w:p>
        </w:tc>
        <w:tc>
          <w:tcPr>
            <w:tcW w:w="1800" w:type="dxa"/>
            <w:tcBorders>
              <w:top w:val="nil"/>
              <w:left w:val="nil"/>
              <w:bottom w:val="double" w:sz="6" w:space="0" w:color="auto"/>
              <w:right w:val="nil"/>
            </w:tcBorders>
            <w:shd w:val="clear" w:color="auto" w:fill="auto"/>
            <w:noWrap/>
            <w:vAlign w:val="bottom"/>
            <w:hideMark/>
          </w:tcPr>
          <w:p w:rsidR="00990131" w:rsidRPr="00385B16" w:rsidRDefault="00990131" w:rsidP="00752B9A">
            <w:pPr>
              <w:jc w:val="right"/>
              <w:rPr>
                <w:rFonts w:ascii="Arial" w:hAnsi="Arial" w:cs="Arial"/>
                <w:color w:val="000000"/>
                <w:sz w:val="22"/>
                <w:szCs w:val="22"/>
              </w:rPr>
            </w:pPr>
            <w:r w:rsidRPr="00385B16">
              <w:rPr>
                <w:rFonts w:ascii="Arial" w:hAnsi="Arial" w:cs="Arial"/>
                <w:color w:val="000000"/>
                <w:sz w:val="22"/>
                <w:szCs w:val="22"/>
              </w:rPr>
              <w:t xml:space="preserve">151,776.70 </w:t>
            </w:r>
          </w:p>
        </w:tc>
        <w:tc>
          <w:tcPr>
            <w:tcW w:w="1350" w:type="dxa"/>
            <w:tcBorders>
              <w:top w:val="nil"/>
              <w:left w:val="nil"/>
              <w:bottom w:val="double" w:sz="6" w:space="0" w:color="auto"/>
              <w:right w:val="nil"/>
            </w:tcBorders>
            <w:shd w:val="clear" w:color="auto" w:fill="auto"/>
            <w:noWrap/>
            <w:vAlign w:val="bottom"/>
            <w:hideMark/>
          </w:tcPr>
          <w:p w:rsidR="00990131" w:rsidRPr="00385B16" w:rsidRDefault="00990131" w:rsidP="00752B9A">
            <w:pPr>
              <w:rPr>
                <w:rFonts w:ascii="Arial" w:hAnsi="Arial" w:cs="Arial"/>
                <w:color w:val="000000"/>
                <w:sz w:val="22"/>
                <w:szCs w:val="22"/>
              </w:rPr>
            </w:pPr>
            <w:r w:rsidRPr="00385B16">
              <w:rPr>
                <w:rFonts w:ascii="Arial" w:hAnsi="Arial" w:cs="Arial"/>
                <w:color w:val="000000"/>
                <w:sz w:val="22"/>
                <w:szCs w:val="22"/>
              </w:rPr>
              <w:t> </w:t>
            </w:r>
          </w:p>
        </w:tc>
      </w:tr>
    </w:tbl>
    <w:p w:rsidR="00385B16" w:rsidRDefault="00385B16"/>
    <w:tbl>
      <w:tblPr>
        <w:tblW w:w="11520" w:type="dxa"/>
        <w:tblInd w:w="-365" w:type="dxa"/>
        <w:tblLook w:val="04A0" w:firstRow="1" w:lastRow="0" w:firstColumn="1" w:lastColumn="0" w:noHBand="0" w:noVBand="1"/>
      </w:tblPr>
      <w:tblGrid>
        <w:gridCol w:w="11520"/>
      </w:tblGrid>
      <w:tr w:rsidR="00990131" w:rsidRPr="00990131" w:rsidTr="00752B9A">
        <w:trPr>
          <w:trHeight w:val="746"/>
        </w:trPr>
        <w:tc>
          <w:tcPr>
            <w:tcW w:w="11520"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rPr>
                <w:rFonts w:ascii="Arial" w:hAnsi="Arial" w:cs="Arial"/>
                <w:color w:val="000000"/>
                <w:sz w:val="20"/>
                <w:szCs w:val="20"/>
              </w:rPr>
            </w:pPr>
            <w:r w:rsidRPr="00990131">
              <w:rPr>
                <w:rFonts w:ascii="Arial" w:hAnsi="Arial" w:cs="Arial"/>
                <w:b/>
                <w:bCs/>
                <w:color w:val="000000"/>
                <w:sz w:val="20"/>
                <w:szCs w:val="20"/>
              </w:rPr>
              <w:t>TEGBX</w:t>
            </w:r>
            <w:r w:rsidRPr="00990131">
              <w:rPr>
                <w:rFonts w:ascii="Arial" w:hAnsi="Arial" w:cs="Arial"/>
                <w:color w:val="000000"/>
                <w:sz w:val="20"/>
                <w:szCs w:val="20"/>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r>
      <w:tr w:rsidR="00990131" w:rsidRPr="00990131" w:rsidTr="00752B9A">
        <w:trPr>
          <w:trHeight w:val="719"/>
        </w:trPr>
        <w:tc>
          <w:tcPr>
            <w:tcW w:w="11520"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rPr>
                <w:rFonts w:ascii="Arial" w:hAnsi="Arial" w:cs="Arial"/>
                <w:color w:val="000000"/>
                <w:sz w:val="20"/>
                <w:szCs w:val="20"/>
              </w:rPr>
            </w:pPr>
            <w:r w:rsidRPr="00990131">
              <w:rPr>
                <w:rFonts w:ascii="Arial" w:hAnsi="Arial" w:cs="Arial"/>
                <w:b/>
                <w:bCs/>
                <w:color w:val="000000"/>
                <w:sz w:val="20"/>
                <w:szCs w:val="20"/>
              </w:rPr>
              <w:t>FSGCX</w:t>
            </w:r>
            <w:r w:rsidRPr="00990131">
              <w:rPr>
                <w:rFonts w:ascii="Arial" w:hAnsi="Arial" w:cs="Arial"/>
                <w:color w:val="000000"/>
                <w:sz w:val="20"/>
                <w:szCs w:val="20"/>
              </w:rPr>
              <w:t>-Franklin Templeton Strategic Income Fund Class C - Strategy: The Fund seeks to earn a high level of current income. Its secondary goal is capital appreciation over the long term. The Fund invests at least 65% of its assets in U.S. and foreign debt securities.</w:t>
            </w:r>
          </w:p>
        </w:tc>
      </w:tr>
      <w:tr w:rsidR="00990131" w:rsidRPr="00990131" w:rsidTr="00752B9A">
        <w:trPr>
          <w:trHeight w:val="836"/>
        </w:trPr>
        <w:tc>
          <w:tcPr>
            <w:tcW w:w="11520"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rPr>
                <w:rFonts w:ascii="Arial" w:hAnsi="Arial" w:cs="Arial"/>
                <w:color w:val="000000"/>
                <w:sz w:val="20"/>
                <w:szCs w:val="20"/>
              </w:rPr>
            </w:pPr>
            <w:r w:rsidRPr="00990131">
              <w:rPr>
                <w:rFonts w:ascii="Arial" w:hAnsi="Arial" w:cs="Arial"/>
                <w:b/>
                <w:bCs/>
                <w:color w:val="000000"/>
                <w:sz w:val="20"/>
                <w:szCs w:val="20"/>
              </w:rPr>
              <w:t>FCSCX</w:t>
            </w:r>
            <w:r w:rsidRPr="00990131">
              <w:rPr>
                <w:rFonts w:ascii="Arial" w:hAnsi="Arial" w:cs="Arial"/>
                <w:color w:val="000000"/>
                <w:sz w:val="20"/>
                <w:szCs w:val="20"/>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r>
      <w:tr w:rsidR="00990131" w:rsidRPr="00990131" w:rsidTr="00752B9A">
        <w:trPr>
          <w:trHeight w:val="566"/>
        </w:trPr>
        <w:tc>
          <w:tcPr>
            <w:tcW w:w="1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131" w:rsidRPr="00990131" w:rsidRDefault="00990131" w:rsidP="001369A6">
            <w:pPr>
              <w:rPr>
                <w:rFonts w:ascii="Arial" w:hAnsi="Arial" w:cs="Arial"/>
                <w:color w:val="000000"/>
                <w:sz w:val="20"/>
                <w:szCs w:val="20"/>
              </w:rPr>
            </w:pPr>
            <w:r w:rsidRPr="00990131">
              <w:rPr>
                <w:rFonts w:ascii="Arial" w:hAnsi="Arial" w:cs="Arial"/>
                <w:b/>
                <w:bCs/>
                <w:color w:val="000000"/>
                <w:sz w:val="20"/>
                <w:szCs w:val="20"/>
              </w:rPr>
              <w:t>FRGSX</w:t>
            </w:r>
            <w:r w:rsidRPr="00990131">
              <w:rPr>
                <w:rFonts w:ascii="Arial" w:hAnsi="Arial" w:cs="Arial"/>
                <w:color w:val="000000"/>
                <w:sz w:val="20"/>
                <w:szCs w:val="20"/>
              </w:rPr>
              <w:t>-Franklin Growth Series Class C- Strategy: The Fund seeks capital appreciation. The Fund primarily invests in equity securities that are leaders in their industries.</w:t>
            </w:r>
          </w:p>
        </w:tc>
      </w:tr>
      <w:tr w:rsidR="00990131" w:rsidRPr="00990131" w:rsidTr="00752B9A">
        <w:trPr>
          <w:trHeight w:val="881"/>
        </w:trPr>
        <w:tc>
          <w:tcPr>
            <w:tcW w:w="11520"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rPr>
                <w:rFonts w:ascii="Arial" w:hAnsi="Arial" w:cs="Arial"/>
                <w:color w:val="000000"/>
                <w:sz w:val="20"/>
                <w:szCs w:val="22"/>
              </w:rPr>
            </w:pPr>
            <w:r w:rsidRPr="00990131">
              <w:rPr>
                <w:rFonts w:ascii="Calibri" w:hAnsi="Calibri" w:cs="Arial"/>
                <w:b/>
                <w:bCs/>
                <w:color w:val="000000"/>
                <w:sz w:val="20"/>
                <w:szCs w:val="22"/>
              </w:rPr>
              <w:t>FRUGX</w:t>
            </w:r>
            <w:r w:rsidRPr="00990131">
              <w:rPr>
                <w:rFonts w:ascii="Arial" w:hAnsi="Arial" w:cs="Arial"/>
                <w:color w:val="000000"/>
                <w:sz w:val="20"/>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r>
      <w:tr w:rsidR="00990131" w:rsidRPr="00990131" w:rsidTr="00752B9A">
        <w:trPr>
          <w:trHeight w:val="764"/>
        </w:trPr>
        <w:tc>
          <w:tcPr>
            <w:tcW w:w="11520"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spacing w:after="240"/>
              <w:rPr>
                <w:rFonts w:ascii="Arial" w:hAnsi="Arial" w:cs="Arial"/>
                <w:color w:val="000000"/>
                <w:sz w:val="20"/>
                <w:szCs w:val="22"/>
              </w:rPr>
            </w:pPr>
            <w:r w:rsidRPr="00990131">
              <w:rPr>
                <w:rFonts w:ascii="Calibri" w:hAnsi="Calibri" w:cs="Arial"/>
                <w:b/>
                <w:bCs/>
                <w:color w:val="000000"/>
                <w:sz w:val="20"/>
                <w:szCs w:val="22"/>
              </w:rPr>
              <w:t>FCISX</w:t>
            </w:r>
            <w:r w:rsidRPr="00990131">
              <w:rPr>
                <w:rFonts w:ascii="Arial" w:hAnsi="Arial" w:cs="Arial"/>
                <w:color w:val="000000"/>
                <w:sz w:val="20"/>
                <w:szCs w:val="22"/>
              </w:rPr>
              <w:t xml:space="preserve">-Franklin Income Series Class C- Strategy: The Fund seeks to maximize income while maintaining prospects for capital appreciation. The Fund will achieve this by investing in a diversified portfolio of debt and equity securities. </w:t>
            </w:r>
          </w:p>
        </w:tc>
      </w:tr>
    </w:tbl>
    <w:p w:rsidR="00990131" w:rsidRPr="00990131" w:rsidRDefault="00990131" w:rsidP="00990131">
      <w:pPr>
        <w:rPr>
          <w:rFonts w:ascii="Wingdings" w:hAnsi="Wingdings" w:cs="Arial"/>
          <w:color w:val="000000"/>
        </w:rPr>
      </w:pPr>
    </w:p>
    <w:tbl>
      <w:tblPr>
        <w:tblW w:w="11520" w:type="dxa"/>
        <w:tblInd w:w="-360" w:type="dxa"/>
        <w:tblLook w:val="04A0" w:firstRow="1" w:lastRow="0" w:firstColumn="1" w:lastColumn="0" w:noHBand="0" w:noVBand="1"/>
      </w:tblPr>
      <w:tblGrid>
        <w:gridCol w:w="2145"/>
        <w:gridCol w:w="1780"/>
        <w:gridCol w:w="1780"/>
        <w:gridCol w:w="1780"/>
        <w:gridCol w:w="1780"/>
        <w:gridCol w:w="2255"/>
      </w:tblGrid>
      <w:tr w:rsidR="00990131" w:rsidRPr="00385B16" w:rsidTr="00990131">
        <w:trPr>
          <w:trHeight w:val="360"/>
        </w:trPr>
        <w:tc>
          <w:tcPr>
            <w:tcW w:w="11520" w:type="dxa"/>
            <w:gridSpan w:val="6"/>
            <w:tcBorders>
              <w:top w:val="nil"/>
              <w:left w:val="nil"/>
              <w:bottom w:val="nil"/>
              <w:right w:val="nil"/>
            </w:tcBorders>
            <w:shd w:val="clear" w:color="auto" w:fill="auto"/>
            <w:hideMark/>
          </w:tcPr>
          <w:p w:rsidR="00990131" w:rsidRDefault="00990131" w:rsidP="00990131">
            <w:pPr>
              <w:rPr>
                <w:rFonts w:ascii="Wingdings" w:hAnsi="Wingdings" w:cs="Arial"/>
                <w:color w:val="000000"/>
              </w:rPr>
            </w:pPr>
            <w:r>
              <w:rPr>
                <w:rFonts w:ascii="Wingdings" w:hAnsi="Wingdings" w:cs="Arial"/>
                <w:color w:val="000000"/>
              </w:rPr>
              <w:t></w:t>
            </w:r>
            <w:r>
              <w:rPr>
                <w:b/>
                <w:bCs/>
                <w:color w:val="000000"/>
              </w:rPr>
              <w:t xml:space="preserve"> Equipment, Furniture &amp; Vehicles</w:t>
            </w:r>
            <w:r>
              <w:rPr>
                <w:rFonts w:ascii="Calibri" w:hAnsi="Calibri" w:cs="Arial"/>
                <w:color w:val="000000"/>
              </w:rPr>
              <w:t xml:space="preserve"> -Agency purchased the following capital equipment. </w:t>
            </w:r>
          </w:p>
          <w:p w:rsidR="00990131" w:rsidRPr="00385B16" w:rsidRDefault="00990131" w:rsidP="00C33949">
            <w:pPr>
              <w:rPr>
                <w:rFonts w:ascii="Wingdings" w:hAnsi="Wingdings" w:cs="Arial"/>
                <w:color w:val="000000"/>
              </w:rPr>
            </w:pPr>
          </w:p>
        </w:tc>
      </w:tr>
      <w:tr w:rsidR="00990131" w:rsidRPr="00990131" w:rsidTr="00752B9A">
        <w:trPr>
          <w:trHeight w:val="300"/>
        </w:trPr>
        <w:tc>
          <w:tcPr>
            <w:tcW w:w="2145" w:type="dxa"/>
            <w:tcBorders>
              <w:top w:val="single" w:sz="4" w:space="0" w:color="auto"/>
              <w:left w:val="single" w:sz="4" w:space="0" w:color="auto"/>
              <w:bottom w:val="single" w:sz="4" w:space="0" w:color="auto"/>
              <w:right w:val="single" w:sz="4" w:space="0" w:color="auto"/>
            </w:tcBorders>
            <w:shd w:val="clear" w:color="auto" w:fill="auto"/>
            <w:hideMark/>
          </w:tcPr>
          <w:p w:rsidR="00990131" w:rsidRPr="00990131" w:rsidRDefault="00990131" w:rsidP="00990131">
            <w:pPr>
              <w:jc w:val="center"/>
              <w:rPr>
                <w:rFonts w:ascii="Calibri" w:hAnsi="Calibri" w:cs="Arial"/>
                <w:b/>
                <w:bCs/>
                <w:color w:val="000000"/>
                <w:sz w:val="22"/>
                <w:szCs w:val="22"/>
              </w:rPr>
            </w:pPr>
            <w:r w:rsidRPr="00990131">
              <w:rPr>
                <w:rFonts w:ascii="Calibri" w:hAnsi="Calibri" w:cs="Arial"/>
                <w:b/>
                <w:bCs/>
                <w:color w:val="000000"/>
                <w:sz w:val="22"/>
                <w:szCs w:val="22"/>
              </w:rPr>
              <w:t>Month in Service</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990131" w:rsidRPr="00990131" w:rsidRDefault="00990131" w:rsidP="00990131">
            <w:pPr>
              <w:jc w:val="center"/>
              <w:rPr>
                <w:rFonts w:ascii="Calibri" w:hAnsi="Calibri" w:cs="Arial"/>
                <w:b/>
                <w:bCs/>
                <w:color w:val="000000"/>
                <w:sz w:val="22"/>
                <w:szCs w:val="22"/>
              </w:rPr>
            </w:pPr>
            <w:r w:rsidRPr="00990131">
              <w:rPr>
                <w:rFonts w:ascii="Calibri" w:hAnsi="Calibri" w:cs="Arial"/>
                <w:b/>
                <w:bCs/>
                <w:color w:val="000000"/>
                <w:sz w:val="22"/>
                <w:szCs w:val="22"/>
              </w:rPr>
              <w:t>Funding Source</w:t>
            </w:r>
          </w:p>
        </w:tc>
        <w:tc>
          <w:tcPr>
            <w:tcW w:w="1780" w:type="dxa"/>
            <w:tcBorders>
              <w:top w:val="single" w:sz="4" w:space="0" w:color="auto"/>
              <w:left w:val="nil"/>
              <w:bottom w:val="single" w:sz="4" w:space="0" w:color="auto"/>
              <w:right w:val="single" w:sz="4" w:space="0" w:color="auto"/>
            </w:tcBorders>
            <w:shd w:val="clear" w:color="auto" w:fill="auto"/>
            <w:hideMark/>
          </w:tcPr>
          <w:p w:rsidR="00990131" w:rsidRPr="00990131" w:rsidRDefault="00990131" w:rsidP="00990131">
            <w:pPr>
              <w:jc w:val="center"/>
              <w:rPr>
                <w:rFonts w:ascii="Calibri" w:hAnsi="Calibri" w:cs="Arial"/>
                <w:b/>
                <w:bCs/>
                <w:color w:val="000000"/>
                <w:sz w:val="22"/>
                <w:szCs w:val="22"/>
              </w:rPr>
            </w:pPr>
            <w:r w:rsidRPr="00990131">
              <w:rPr>
                <w:rFonts w:ascii="Calibri" w:hAnsi="Calibri" w:cs="Arial"/>
                <w:b/>
                <w:bCs/>
                <w:color w:val="000000"/>
                <w:sz w:val="22"/>
                <w:szCs w:val="22"/>
              </w:rPr>
              <w:t>Supplier</w:t>
            </w:r>
          </w:p>
        </w:tc>
        <w:tc>
          <w:tcPr>
            <w:tcW w:w="3560" w:type="dxa"/>
            <w:gridSpan w:val="2"/>
            <w:tcBorders>
              <w:top w:val="single" w:sz="4" w:space="0" w:color="auto"/>
              <w:left w:val="nil"/>
              <w:bottom w:val="single" w:sz="4" w:space="0" w:color="auto"/>
              <w:right w:val="single" w:sz="4" w:space="0" w:color="auto"/>
            </w:tcBorders>
            <w:shd w:val="clear" w:color="auto" w:fill="auto"/>
            <w:hideMark/>
          </w:tcPr>
          <w:p w:rsidR="00990131" w:rsidRPr="00990131" w:rsidRDefault="00990131" w:rsidP="00990131">
            <w:pPr>
              <w:jc w:val="center"/>
              <w:rPr>
                <w:rFonts w:ascii="Calibri" w:hAnsi="Calibri" w:cs="Arial"/>
                <w:b/>
                <w:bCs/>
                <w:color w:val="000000"/>
                <w:sz w:val="22"/>
                <w:szCs w:val="22"/>
              </w:rPr>
            </w:pPr>
            <w:r w:rsidRPr="00990131">
              <w:rPr>
                <w:rFonts w:ascii="Calibri" w:hAnsi="Calibri" w:cs="Arial"/>
                <w:b/>
                <w:bCs/>
                <w:color w:val="000000"/>
                <w:sz w:val="22"/>
                <w:szCs w:val="22"/>
              </w:rPr>
              <w:t>Description</w:t>
            </w:r>
          </w:p>
        </w:tc>
        <w:tc>
          <w:tcPr>
            <w:tcW w:w="2255" w:type="dxa"/>
            <w:tcBorders>
              <w:top w:val="single" w:sz="4" w:space="0" w:color="auto"/>
              <w:left w:val="nil"/>
              <w:bottom w:val="single" w:sz="4" w:space="0" w:color="auto"/>
              <w:right w:val="single" w:sz="4" w:space="0" w:color="auto"/>
            </w:tcBorders>
            <w:shd w:val="clear" w:color="auto" w:fill="auto"/>
            <w:hideMark/>
          </w:tcPr>
          <w:p w:rsidR="00990131" w:rsidRPr="00990131" w:rsidRDefault="00990131" w:rsidP="00990131">
            <w:pPr>
              <w:jc w:val="center"/>
              <w:rPr>
                <w:rFonts w:ascii="Calibri" w:hAnsi="Calibri" w:cs="Arial"/>
                <w:b/>
                <w:bCs/>
                <w:color w:val="000000"/>
                <w:sz w:val="22"/>
                <w:szCs w:val="22"/>
              </w:rPr>
            </w:pPr>
            <w:r w:rsidRPr="00990131">
              <w:rPr>
                <w:rFonts w:ascii="Calibri" w:hAnsi="Calibri" w:cs="Arial"/>
                <w:b/>
                <w:bCs/>
                <w:color w:val="000000"/>
                <w:sz w:val="22"/>
                <w:szCs w:val="22"/>
              </w:rPr>
              <w:t>Cost</w:t>
            </w:r>
          </w:p>
        </w:tc>
      </w:tr>
      <w:tr w:rsidR="00990131" w:rsidRPr="00990131" w:rsidTr="00752B9A">
        <w:trPr>
          <w:trHeight w:val="570"/>
        </w:trPr>
        <w:tc>
          <w:tcPr>
            <w:tcW w:w="2145" w:type="dxa"/>
            <w:tcBorders>
              <w:top w:val="nil"/>
              <w:left w:val="single" w:sz="4" w:space="0" w:color="auto"/>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Apr-16</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OFA: NY Connects</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Intelligent Tech Solutions </w:t>
            </w:r>
          </w:p>
        </w:tc>
        <w:tc>
          <w:tcPr>
            <w:tcW w:w="3560" w:type="dxa"/>
            <w:gridSpan w:val="2"/>
            <w:tcBorders>
              <w:top w:val="single" w:sz="4" w:space="0" w:color="auto"/>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Dell Optiplex 9030 Computer</w:t>
            </w:r>
          </w:p>
        </w:tc>
        <w:tc>
          <w:tcPr>
            <w:tcW w:w="2255"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                  1,343 </w:t>
            </w:r>
          </w:p>
        </w:tc>
      </w:tr>
      <w:tr w:rsidR="00990131" w:rsidRPr="00990131" w:rsidTr="00752B9A">
        <w:trPr>
          <w:trHeight w:val="570"/>
        </w:trPr>
        <w:tc>
          <w:tcPr>
            <w:tcW w:w="2145" w:type="dxa"/>
            <w:tcBorders>
              <w:top w:val="nil"/>
              <w:left w:val="single" w:sz="4" w:space="0" w:color="auto"/>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Apr-16</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OFA: NYC - EEP</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Intelligent Tech Solutions </w:t>
            </w:r>
          </w:p>
        </w:tc>
        <w:tc>
          <w:tcPr>
            <w:tcW w:w="3560" w:type="dxa"/>
            <w:gridSpan w:val="2"/>
            <w:tcBorders>
              <w:top w:val="single" w:sz="4" w:space="0" w:color="auto"/>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Dell Optiplex 9030 Computer</w:t>
            </w:r>
          </w:p>
        </w:tc>
        <w:tc>
          <w:tcPr>
            <w:tcW w:w="2255"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1,210 </w:t>
            </w:r>
          </w:p>
        </w:tc>
      </w:tr>
      <w:tr w:rsidR="00990131" w:rsidRPr="00990131" w:rsidTr="00752B9A">
        <w:trPr>
          <w:trHeight w:val="855"/>
        </w:trPr>
        <w:tc>
          <w:tcPr>
            <w:tcW w:w="2145" w:type="dxa"/>
            <w:tcBorders>
              <w:top w:val="nil"/>
              <w:left w:val="single" w:sz="4" w:space="0" w:color="auto"/>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Jul-16</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OFA: NYC - EEP</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Standard Commercial Interiors </w:t>
            </w:r>
          </w:p>
        </w:tc>
        <w:tc>
          <w:tcPr>
            <w:tcW w:w="3560" w:type="dxa"/>
            <w:gridSpan w:val="2"/>
            <w:tcBorders>
              <w:top w:val="single" w:sz="4" w:space="0" w:color="auto"/>
              <w:left w:val="nil"/>
              <w:bottom w:val="single" w:sz="4" w:space="0" w:color="auto"/>
              <w:right w:val="single" w:sz="4" w:space="0" w:color="000000"/>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Workstation/Desk</w:t>
            </w:r>
          </w:p>
        </w:tc>
        <w:tc>
          <w:tcPr>
            <w:tcW w:w="2255"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1,319 </w:t>
            </w:r>
          </w:p>
        </w:tc>
      </w:tr>
      <w:tr w:rsidR="00990131" w:rsidRPr="00990131" w:rsidTr="00752B9A">
        <w:trPr>
          <w:trHeight w:val="570"/>
        </w:trPr>
        <w:tc>
          <w:tcPr>
            <w:tcW w:w="2145" w:type="dxa"/>
            <w:tcBorders>
              <w:top w:val="nil"/>
              <w:left w:val="single" w:sz="4" w:space="0" w:color="auto"/>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Aug-16</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Navigator Program</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Intelligent Tech Solutions </w:t>
            </w:r>
          </w:p>
        </w:tc>
        <w:tc>
          <w:tcPr>
            <w:tcW w:w="3560" w:type="dxa"/>
            <w:gridSpan w:val="2"/>
            <w:tcBorders>
              <w:top w:val="single" w:sz="4" w:space="0" w:color="auto"/>
              <w:left w:val="nil"/>
              <w:bottom w:val="single" w:sz="4" w:space="0" w:color="auto"/>
              <w:right w:val="single" w:sz="4" w:space="0" w:color="000000"/>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Dell Latitude 5000 Laptop</w:t>
            </w:r>
          </w:p>
        </w:tc>
        <w:tc>
          <w:tcPr>
            <w:tcW w:w="2255"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1,866 </w:t>
            </w:r>
          </w:p>
        </w:tc>
      </w:tr>
      <w:tr w:rsidR="00990131" w:rsidRPr="00990131" w:rsidTr="00752B9A">
        <w:trPr>
          <w:trHeight w:val="570"/>
        </w:trPr>
        <w:tc>
          <w:tcPr>
            <w:tcW w:w="2145" w:type="dxa"/>
            <w:tcBorders>
              <w:top w:val="nil"/>
              <w:left w:val="single" w:sz="4" w:space="0" w:color="auto"/>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Aug-16</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Cancer Services Program</w:t>
            </w:r>
          </w:p>
        </w:tc>
        <w:tc>
          <w:tcPr>
            <w:tcW w:w="1780"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Intelligent Tech Solutions </w:t>
            </w:r>
          </w:p>
        </w:tc>
        <w:tc>
          <w:tcPr>
            <w:tcW w:w="3560" w:type="dxa"/>
            <w:gridSpan w:val="2"/>
            <w:tcBorders>
              <w:top w:val="single" w:sz="4" w:space="0" w:color="auto"/>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Dell Optiplex 24 Computer</w:t>
            </w:r>
          </w:p>
        </w:tc>
        <w:tc>
          <w:tcPr>
            <w:tcW w:w="2255" w:type="dxa"/>
            <w:tcBorders>
              <w:top w:val="nil"/>
              <w:left w:val="nil"/>
              <w:bottom w:val="single" w:sz="4" w:space="0" w:color="auto"/>
              <w:right w:val="single" w:sz="4" w:space="0" w:color="auto"/>
            </w:tcBorders>
            <w:shd w:val="clear" w:color="auto" w:fill="auto"/>
            <w:vAlign w:val="center"/>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 xml:space="preserve">                     1,388 </w:t>
            </w:r>
          </w:p>
        </w:tc>
      </w:tr>
      <w:tr w:rsidR="00990131" w:rsidRPr="00990131" w:rsidTr="00752B9A">
        <w:trPr>
          <w:trHeight w:val="300"/>
        </w:trPr>
        <w:tc>
          <w:tcPr>
            <w:tcW w:w="2145" w:type="dxa"/>
            <w:tcBorders>
              <w:top w:val="nil"/>
              <w:left w:val="nil"/>
              <w:bottom w:val="nil"/>
              <w:right w:val="nil"/>
            </w:tcBorders>
            <w:shd w:val="clear" w:color="auto" w:fill="auto"/>
            <w:hideMark/>
          </w:tcPr>
          <w:p w:rsidR="00990131" w:rsidRPr="00990131" w:rsidRDefault="00990131" w:rsidP="00990131">
            <w:pPr>
              <w:jc w:val="center"/>
              <w:rPr>
                <w:rFonts w:ascii="Arial" w:hAnsi="Arial" w:cs="Arial"/>
                <w:color w:val="000000"/>
                <w:sz w:val="22"/>
                <w:szCs w:val="22"/>
              </w:rPr>
            </w:pPr>
          </w:p>
        </w:tc>
        <w:tc>
          <w:tcPr>
            <w:tcW w:w="1780" w:type="dxa"/>
            <w:tcBorders>
              <w:top w:val="nil"/>
              <w:left w:val="nil"/>
              <w:bottom w:val="nil"/>
              <w:right w:val="nil"/>
            </w:tcBorders>
            <w:shd w:val="clear" w:color="auto" w:fill="auto"/>
            <w:hideMark/>
          </w:tcPr>
          <w:p w:rsidR="00990131" w:rsidRPr="00990131" w:rsidRDefault="00990131" w:rsidP="00990131">
            <w:pPr>
              <w:rPr>
                <w:sz w:val="20"/>
                <w:szCs w:val="20"/>
              </w:rPr>
            </w:pPr>
          </w:p>
        </w:tc>
        <w:tc>
          <w:tcPr>
            <w:tcW w:w="1780" w:type="dxa"/>
            <w:tcBorders>
              <w:top w:val="nil"/>
              <w:left w:val="nil"/>
              <w:bottom w:val="nil"/>
              <w:right w:val="nil"/>
            </w:tcBorders>
            <w:shd w:val="clear" w:color="auto" w:fill="auto"/>
            <w:hideMark/>
          </w:tcPr>
          <w:p w:rsidR="00990131" w:rsidRPr="00990131" w:rsidRDefault="00990131" w:rsidP="00990131">
            <w:pPr>
              <w:rPr>
                <w:sz w:val="20"/>
                <w:szCs w:val="20"/>
              </w:rPr>
            </w:pPr>
          </w:p>
        </w:tc>
        <w:tc>
          <w:tcPr>
            <w:tcW w:w="1780" w:type="dxa"/>
            <w:tcBorders>
              <w:top w:val="nil"/>
              <w:left w:val="nil"/>
              <w:bottom w:val="nil"/>
              <w:right w:val="nil"/>
            </w:tcBorders>
            <w:shd w:val="clear" w:color="auto" w:fill="auto"/>
            <w:hideMark/>
          </w:tcPr>
          <w:p w:rsidR="00990131" w:rsidRPr="00990131" w:rsidRDefault="00990131" w:rsidP="00990131">
            <w:pPr>
              <w:rPr>
                <w:sz w:val="20"/>
                <w:szCs w:val="20"/>
              </w:rPr>
            </w:pPr>
          </w:p>
        </w:tc>
        <w:tc>
          <w:tcPr>
            <w:tcW w:w="1780" w:type="dxa"/>
            <w:tcBorders>
              <w:top w:val="nil"/>
              <w:left w:val="nil"/>
              <w:bottom w:val="nil"/>
              <w:right w:val="nil"/>
            </w:tcBorders>
            <w:shd w:val="clear" w:color="auto" w:fill="auto"/>
            <w:hideMark/>
          </w:tcPr>
          <w:p w:rsidR="00990131" w:rsidRPr="00990131" w:rsidRDefault="00990131" w:rsidP="00990131">
            <w:pPr>
              <w:jc w:val="right"/>
              <w:rPr>
                <w:rFonts w:ascii="Arial" w:hAnsi="Arial" w:cs="Arial"/>
                <w:color w:val="000000"/>
                <w:sz w:val="22"/>
                <w:szCs w:val="22"/>
              </w:rPr>
            </w:pPr>
            <w:r w:rsidRPr="00990131">
              <w:rPr>
                <w:rFonts w:ascii="Arial" w:hAnsi="Arial" w:cs="Arial"/>
                <w:color w:val="000000"/>
                <w:sz w:val="22"/>
                <w:szCs w:val="22"/>
              </w:rPr>
              <w:t>Total</w:t>
            </w:r>
          </w:p>
        </w:tc>
        <w:tc>
          <w:tcPr>
            <w:tcW w:w="2255" w:type="dxa"/>
            <w:tcBorders>
              <w:top w:val="nil"/>
              <w:left w:val="single" w:sz="4" w:space="0" w:color="auto"/>
              <w:bottom w:val="single" w:sz="4" w:space="0" w:color="auto"/>
              <w:right w:val="single" w:sz="4" w:space="0" w:color="auto"/>
            </w:tcBorders>
            <w:shd w:val="clear" w:color="auto" w:fill="auto"/>
            <w:hideMark/>
          </w:tcPr>
          <w:p w:rsidR="00990131" w:rsidRPr="00990131" w:rsidRDefault="00990131" w:rsidP="00990131">
            <w:pPr>
              <w:rPr>
                <w:rFonts w:ascii="Arial" w:hAnsi="Arial" w:cs="Arial"/>
                <w:color w:val="000000"/>
                <w:sz w:val="22"/>
                <w:szCs w:val="22"/>
              </w:rPr>
            </w:pPr>
            <w:r w:rsidRPr="00990131">
              <w:rPr>
                <w:rFonts w:ascii="Arial" w:hAnsi="Arial" w:cs="Arial"/>
                <w:color w:val="000000"/>
                <w:sz w:val="22"/>
                <w:szCs w:val="22"/>
              </w:rPr>
              <w:t xml:space="preserve"> $                  7,126 </w:t>
            </w:r>
          </w:p>
        </w:tc>
      </w:tr>
    </w:tbl>
    <w:p w:rsidR="00752B9A" w:rsidRDefault="00752B9A" w:rsidP="00990131">
      <w:pPr>
        <w:rPr>
          <w:rFonts w:ascii="Wingdings" w:hAnsi="Wingdings" w:cs="Arial"/>
          <w:color w:val="000000"/>
        </w:rPr>
      </w:pPr>
    </w:p>
    <w:tbl>
      <w:tblPr>
        <w:tblW w:w="11520" w:type="dxa"/>
        <w:tblInd w:w="-360" w:type="dxa"/>
        <w:tblLook w:val="04A0" w:firstRow="1" w:lastRow="0" w:firstColumn="1" w:lastColumn="0" w:noHBand="0" w:noVBand="1"/>
      </w:tblPr>
      <w:tblGrid>
        <w:gridCol w:w="11520"/>
      </w:tblGrid>
      <w:tr w:rsidR="00752B9A" w:rsidRPr="00990131" w:rsidTr="00752B9A">
        <w:trPr>
          <w:trHeight w:val="936"/>
        </w:trPr>
        <w:tc>
          <w:tcPr>
            <w:tcW w:w="11520" w:type="dxa"/>
            <w:tcBorders>
              <w:top w:val="nil"/>
              <w:left w:val="nil"/>
              <w:bottom w:val="nil"/>
              <w:right w:val="nil"/>
            </w:tcBorders>
            <w:shd w:val="clear" w:color="auto" w:fill="auto"/>
            <w:vAlign w:val="bottom"/>
            <w:hideMark/>
          </w:tcPr>
          <w:p w:rsidR="00752B9A" w:rsidRDefault="00752B9A" w:rsidP="00752B9A">
            <w:pPr>
              <w:rPr>
                <w:rFonts w:ascii="Calibri" w:hAnsi="Calibri" w:cs="Arial"/>
                <w:color w:val="000000"/>
              </w:rPr>
            </w:pPr>
            <w:r w:rsidRPr="00990131">
              <w:rPr>
                <w:rFonts w:ascii="Wingdings" w:hAnsi="Wingdings" w:cs="Arial"/>
                <w:color w:val="000000"/>
              </w:rPr>
              <w:t></w:t>
            </w:r>
            <w:r w:rsidRPr="00990131">
              <w:rPr>
                <w:b/>
                <w:bCs/>
                <w:color w:val="000000"/>
              </w:rPr>
              <w:t xml:space="preserve">Accounts Payable - </w:t>
            </w:r>
            <w:r w:rsidRPr="00990131">
              <w:rPr>
                <w:rFonts w:ascii="Calibri" w:hAnsi="Calibri" w:cs="Arial"/>
                <w:color w:val="000000"/>
              </w:rPr>
              <w:t xml:space="preserve">At August 31, 2016, accounts payable lability is $38,293 and all AP liability is being paid timely within 28 days except CSP Clinical Services which gets paid once NYS pays CCCHC. The following is a list of vendors who's liability exceed $1,000. </w:t>
            </w:r>
          </w:p>
          <w:p w:rsidR="00752B9A" w:rsidRPr="00990131" w:rsidRDefault="00752B9A" w:rsidP="00DD724B">
            <w:pPr>
              <w:rPr>
                <w:rFonts w:ascii="Wingdings" w:hAnsi="Wingdings" w:cs="Arial"/>
                <w:color w:val="000000"/>
              </w:rPr>
            </w:pPr>
          </w:p>
        </w:tc>
      </w:tr>
    </w:tbl>
    <w:p w:rsidR="00990131" w:rsidRDefault="00990131" w:rsidP="00990131">
      <w:pPr>
        <w:rPr>
          <w:rFonts w:ascii="Calibri" w:hAnsi="Calibri" w:cs="Arial"/>
          <w:color w:val="000000"/>
        </w:rPr>
      </w:pPr>
    </w:p>
    <w:tbl>
      <w:tblPr>
        <w:tblW w:w="11520" w:type="dxa"/>
        <w:tblInd w:w="-360" w:type="dxa"/>
        <w:tblLook w:val="04A0" w:firstRow="1" w:lastRow="0" w:firstColumn="1" w:lastColumn="0" w:noHBand="0" w:noVBand="1"/>
      </w:tblPr>
      <w:tblGrid>
        <w:gridCol w:w="3909"/>
        <w:gridCol w:w="1851"/>
        <w:gridCol w:w="1712"/>
        <w:gridCol w:w="4048"/>
      </w:tblGrid>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Albany Broadcasting Company</w:t>
            </w:r>
          </w:p>
        </w:tc>
        <w:tc>
          <w:tcPr>
            <w:tcW w:w="1851" w:type="dxa"/>
            <w:tcBorders>
              <w:top w:val="nil"/>
              <w:left w:val="nil"/>
              <w:bottom w:val="nil"/>
              <w:right w:val="nil"/>
            </w:tcBorders>
            <w:shd w:val="clear" w:color="auto" w:fill="auto"/>
            <w:vAlign w:val="center"/>
            <w:hideMark/>
          </w:tcPr>
          <w:p w:rsidR="00990131" w:rsidRPr="00990131" w:rsidRDefault="00990131" w:rsidP="00990131">
            <w:pPr>
              <w:rPr>
                <w:color w:val="000000"/>
              </w:rPr>
            </w:pPr>
            <w:r w:rsidRPr="00990131">
              <w:rPr>
                <w:color w:val="000000"/>
              </w:rPr>
              <w:t xml:space="preserve"> $               5,160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Advertising-Tobacco</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Intelligent Technology Solutions</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3,753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Two Dell Computers &amp; Set-up</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 xml:space="preserve">Columbia County </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3,083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Vehicle Fuel, Lease Paymt &amp; Repairs</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Lamar Companies</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2,550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Advertising-Billboards-Tobacco</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WGXC</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1,235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Underwriting - Tobacco</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Clear Channel Outdoors</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1,200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Advertising-Billboards-Tobacco</w:t>
            </w:r>
          </w:p>
        </w:tc>
      </w:tr>
      <w:tr w:rsidR="00990131" w:rsidRPr="00990131" w:rsidTr="00752B9A">
        <w:trPr>
          <w:trHeight w:val="315"/>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Various Medical Providers</w:t>
            </w:r>
          </w:p>
        </w:tc>
        <w:tc>
          <w:tcPr>
            <w:tcW w:w="1851" w:type="dxa"/>
            <w:tcBorders>
              <w:top w:val="nil"/>
              <w:left w:val="nil"/>
              <w:bottom w:val="nil"/>
              <w:right w:val="nil"/>
            </w:tcBorders>
            <w:shd w:val="clear" w:color="auto" w:fill="auto"/>
            <w:vAlign w:val="center"/>
            <w:hideMark/>
          </w:tcPr>
          <w:p w:rsidR="00990131" w:rsidRPr="00990131" w:rsidRDefault="00990131" w:rsidP="00990131">
            <w:pPr>
              <w:jc w:val="right"/>
              <w:rPr>
                <w:color w:val="000000"/>
              </w:rPr>
            </w:pPr>
            <w:r w:rsidRPr="00990131">
              <w:rPr>
                <w:color w:val="000000"/>
              </w:rPr>
              <w:t xml:space="preserve">                10,831 </w:t>
            </w:r>
          </w:p>
        </w:tc>
        <w:tc>
          <w:tcPr>
            <w:tcW w:w="5760" w:type="dxa"/>
            <w:gridSpan w:val="2"/>
            <w:tcBorders>
              <w:top w:val="nil"/>
              <w:left w:val="nil"/>
              <w:bottom w:val="nil"/>
              <w:right w:val="nil"/>
            </w:tcBorders>
            <w:shd w:val="clear" w:color="auto" w:fill="auto"/>
            <w:noWrap/>
            <w:vAlign w:val="bottom"/>
            <w:hideMark/>
          </w:tcPr>
          <w:p w:rsidR="00990131" w:rsidRPr="00990131" w:rsidRDefault="00990131" w:rsidP="00990131">
            <w:pPr>
              <w:jc w:val="center"/>
              <w:rPr>
                <w:rFonts w:ascii="Arial" w:hAnsi="Arial" w:cs="Arial"/>
                <w:color w:val="000000"/>
                <w:sz w:val="22"/>
                <w:szCs w:val="22"/>
              </w:rPr>
            </w:pPr>
            <w:r w:rsidRPr="00990131">
              <w:rPr>
                <w:rFonts w:ascii="Arial" w:hAnsi="Arial" w:cs="Arial"/>
                <w:color w:val="000000"/>
                <w:sz w:val="22"/>
                <w:szCs w:val="22"/>
              </w:rPr>
              <w:t>CSP Clinical Serices-April-June'16</w:t>
            </w:r>
          </w:p>
        </w:tc>
      </w:tr>
      <w:tr w:rsidR="00990131" w:rsidRPr="00990131" w:rsidTr="00752B9A">
        <w:trPr>
          <w:trHeight w:val="197"/>
        </w:trPr>
        <w:tc>
          <w:tcPr>
            <w:tcW w:w="3909" w:type="dxa"/>
            <w:tcBorders>
              <w:top w:val="nil"/>
              <w:left w:val="nil"/>
              <w:bottom w:val="nil"/>
              <w:right w:val="nil"/>
            </w:tcBorders>
            <w:shd w:val="clear" w:color="auto" w:fill="auto"/>
            <w:vAlign w:val="center"/>
            <w:hideMark/>
          </w:tcPr>
          <w:p w:rsidR="00990131" w:rsidRPr="00990131" w:rsidRDefault="00990131" w:rsidP="00990131">
            <w:pPr>
              <w:jc w:val="center"/>
              <w:rPr>
                <w:color w:val="000000"/>
              </w:rPr>
            </w:pPr>
            <w:r w:rsidRPr="00990131">
              <w:rPr>
                <w:color w:val="000000"/>
              </w:rPr>
              <w:t xml:space="preserve"> Total AP from Above </w:t>
            </w:r>
          </w:p>
        </w:tc>
        <w:tc>
          <w:tcPr>
            <w:tcW w:w="1851" w:type="dxa"/>
            <w:tcBorders>
              <w:top w:val="single" w:sz="4" w:space="0" w:color="auto"/>
              <w:left w:val="nil"/>
              <w:bottom w:val="double" w:sz="6" w:space="0" w:color="auto"/>
              <w:right w:val="nil"/>
            </w:tcBorders>
            <w:shd w:val="clear" w:color="auto" w:fill="auto"/>
            <w:vAlign w:val="center"/>
            <w:hideMark/>
          </w:tcPr>
          <w:p w:rsidR="00990131" w:rsidRPr="00990131" w:rsidRDefault="00990131" w:rsidP="00990131">
            <w:pPr>
              <w:rPr>
                <w:color w:val="000000"/>
              </w:rPr>
            </w:pPr>
            <w:r w:rsidRPr="00990131">
              <w:rPr>
                <w:color w:val="000000"/>
              </w:rPr>
              <w:t xml:space="preserve"> $             27,813 </w:t>
            </w:r>
          </w:p>
        </w:tc>
        <w:tc>
          <w:tcPr>
            <w:tcW w:w="1712" w:type="dxa"/>
            <w:tcBorders>
              <w:top w:val="nil"/>
              <w:left w:val="nil"/>
              <w:bottom w:val="nil"/>
              <w:right w:val="nil"/>
            </w:tcBorders>
            <w:shd w:val="clear" w:color="auto" w:fill="auto"/>
            <w:vAlign w:val="center"/>
            <w:hideMark/>
          </w:tcPr>
          <w:p w:rsidR="00990131" w:rsidRPr="00990131" w:rsidRDefault="00990131" w:rsidP="00990131">
            <w:pPr>
              <w:rPr>
                <w:color w:val="000000"/>
              </w:rPr>
            </w:pPr>
          </w:p>
        </w:tc>
        <w:tc>
          <w:tcPr>
            <w:tcW w:w="4048" w:type="dxa"/>
            <w:tcBorders>
              <w:top w:val="nil"/>
              <w:left w:val="nil"/>
              <w:bottom w:val="nil"/>
              <w:right w:val="nil"/>
            </w:tcBorders>
            <w:shd w:val="clear" w:color="auto" w:fill="auto"/>
            <w:vAlign w:val="center"/>
            <w:hideMark/>
          </w:tcPr>
          <w:p w:rsidR="00990131" w:rsidRPr="00990131" w:rsidRDefault="00990131" w:rsidP="00990131">
            <w:pPr>
              <w:rPr>
                <w:sz w:val="20"/>
                <w:szCs w:val="20"/>
              </w:rPr>
            </w:pPr>
          </w:p>
        </w:tc>
      </w:tr>
    </w:tbl>
    <w:p w:rsidR="00990131" w:rsidRPr="00990131" w:rsidRDefault="00990131" w:rsidP="00990131">
      <w:pPr>
        <w:rPr>
          <w:rFonts w:ascii="Wingdings" w:hAnsi="Wingdings" w:cs="Arial"/>
          <w:color w:val="000000"/>
        </w:rPr>
      </w:pPr>
    </w:p>
    <w:tbl>
      <w:tblPr>
        <w:tblW w:w="11520" w:type="dxa"/>
        <w:tblInd w:w="-360" w:type="dxa"/>
        <w:tblLook w:val="04A0" w:firstRow="1" w:lastRow="0" w:firstColumn="1" w:lastColumn="0" w:noHBand="0" w:noVBand="1"/>
      </w:tblPr>
      <w:tblGrid>
        <w:gridCol w:w="2886"/>
        <w:gridCol w:w="534"/>
        <w:gridCol w:w="1311"/>
        <w:gridCol w:w="579"/>
        <w:gridCol w:w="1303"/>
        <w:gridCol w:w="587"/>
        <w:gridCol w:w="1604"/>
        <w:gridCol w:w="376"/>
        <w:gridCol w:w="2340"/>
      </w:tblGrid>
      <w:tr w:rsidR="00990131" w:rsidRPr="00990131" w:rsidTr="00601B1D">
        <w:trPr>
          <w:trHeight w:val="705"/>
        </w:trPr>
        <w:tc>
          <w:tcPr>
            <w:tcW w:w="11520" w:type="dxa"/>
            <w:gridSpan w:val="9"/>
            <w:tcBorders>
              <w:top w:val="nil"/>
              <w:left w:val="nil"/>
              <w:bottom w:val="nil"/>
              <w:right w:val="nil"/>
            </w:tcBorders>
            <w:shd w:val="clear" w:color="auto" w:fill="auto"/>
            <w:hideMark/>
          </w:tcPr>
          <w:p w:rsidR="00990131" w:rsidRPr="00990131" w:rsidRDefault="00990131" w:rsidP="00990131">
            <w:pPr>
              <w:rPr>
                <w:rFonts w:ascii="Wingdings" w:hAnsi="Wingdings" w:cs="Arial"/>
                <w:color w:val="000000"/>
              </w:rPr>
            </w:pPr>
            <w:r w:rsidRPr="00990131">
              <w:rPr>
                <w:rFonts w:ascii="Wingdings" w:hAnsi="Wingdings" w:cs="Arial"/>
                <w:color w:val="000000"/>
              </w:rPr>
              <w:t></w:t>
            </w:r>
            <w:r w:rsidRPr="00990131">
              <w:rPr>
                <w:b/>
                <w:bCs/>
                <w:color w:val="000000"/>
              </w:rPr>
              <w:t xml:space="preserve">Line of Credit  - </w:t>
            </w:r>
            <w:r w:rsidRPr="00990131">
              <w:rPr>
                <w:rFonts w:ascii="Calibri" w:hAnsi="Calibri" w:cs="Arial"/>
                <w:color w:val="000000"/>
              </w:rPr>
              <w:t>During the month of July, we requested The Bank of Greene County to renew our $100,000 line of credit and provided the bank with appropriate documentation. Bank approved our request.</w:t>
            </w:r>
          </w:p>
        </w:tc>
      </w:tr>
      <w:tr w:rsidR="00990131" w:rsidRPr="00990131" w:rsidTr="00601B1D">
        <w:trPr>
          <w:trHeight w:val="927"/>
        </w:trPr>
        <w:tc>
          <w:tcPr>
            <w:tcW w:w="11520" w:type="dxa"/>
            <w:gridSpan w:val="9"/>
            <w:tcBorders>
              <w:top w:val="nil"/>
              <w:left w:val="nil"/>
              <w:bottom w:val="nil"/>
              <w:right w:val="nil"/>
            </w:tcBorders>
            <w:shd w:val="clear" w:color="auto" w:fill="auto"/>
            <w:vAlign w:val="bottom"/>
            <w:hideMark/>
          </w:tcPr>
          <w:p w:rsidR="00990131" w:rsidRPr="00990131" w:rsidRDefault="00990131" w:rsidP="00990131">
            <w:pPr>
              <w:rPr>
                <w:rFonts w:ascii="Wingdings" w:hAnsi="Wingdings" w:cs="Arial"/>
                <w:color w:val="000000"/>
              </w:rPr>
            </w:pPr>
            <w:r w:rsidRPr="00990131">
              <w:rPr>
                <w:rFonts w:ascii="Wingdings" w:hAnsi="Wingdings" w:cs="Arial"/>
                <w:color w:val="000000"/>
              </w:rPr>
              <w:t></w:t>
            </w:r>
            <w:r w:rsidRPr="00990131">
              <w:rPr>
                <w:color w:val="000000"/>
              </w:rPr>
              <w:t xml:space="preserve"> </w:t>
            </w:r>
            <w:r w:rsidRPr="00990131">
              <w:rPr>
                <w:rFonts w:ascii="Calibri" w:hAnsi="Calibri" w:cs="Arial"/>
                <w:b/>
                <w:bCs/>
                <w:color w:val="000000"/>
              </w:rPr>
              <w:t>Advance Funding Payable</w:t>
            </w:r>
            <w:r w:rsidRPr="00990131">
              <w:rPr>
                <w:rFonts w:ascii="Calibri" w:hAnsi="Calibri" w:cs="Arial"/>
                <w:color w:val="000000"/>
              </w:rPr>
              <w:t xml:space="preserve"> - Activity for the eight months ending August 31, 2016. During the month of September, we are repaying NYSDOH $6,654 in Grant Advance that was not recouped in the previous Tobacco-Free contract year (FY 2015/2016)</w:t>
            </w:r>
          </w:p>
        </w:tc>
      </w:tr>
      <w:tr w:rsidR="00990131" w:rsidRPr="00990131" w:rsidTr="00752B9A">
        <w:trPr>
          <w:trHeight w:val="945"/>
        </w:trPr>
        <w:tc>
          <w:tcPr>
            <w:tcW w:w="2886" w:type="dxa"/>
            <w:tcBorders>
              <w:top w:val="nil"/>
              <w:left w:val="nil"/>
              <w:bottom w:val="nil"/>
              <w:right w:val="nil"/>
            </w:tcBorders>
            <w:shd w:val="clear" w:color="auto" w:fill="auto"/>
            <w:vAlign w:val="center"/>
            <w:hideMark/>
          </w:tcPr>
          <w:p w:rsidR="00990131" w:rsidRPr="00990131" w:rsidRDefault="00990131" w:rsidP="00990131">
            <w:pPr>
              <w:jc w:val="center"/>
              <w:rPr>
                <w:b/>
                <w:bCs/>
                <w:color w:val="000000"/>
                <w:sz w:val="22"/>
              </w:rPr>
            </w:pPr>
            <w:r w:rsidRPr="00990131">
              <w:rPr>
                <w:b/>
                <w:bCs/>
                <w:color w:val="000000"/>
                <w:sz w:val="22"/>
              </w:rPr>
              <w:t>Fund Name</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b/>
                <w:bCs/>
                <w:color w:val="000000"/>
                <w:sz w:val="22"/>
              </w:rPr>
            </w:pPr>
            <w:r w:rsidRPr="00990131">
              <w:rPr>
                <w:b/>
                <w:bCs/>
                <w:color w:val="000000"/>
                <w:sz w:val="22"/>
              </w:rPr>
              <w:t xml:space="preserve">Beginning Balance at January 1st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b/>
                <w:bCs/>
                <w:color w:val="000000"/>
                <w:sz w:val="22"/>
              </w:rPr>
            </w:pPr>
            <w:r w:rsidRPr="00990131">
              <w:rPr>
                <w:b/>
                <w:bCs/>
                <w:color w:val="000000"/>
                <w:sz w:val="22"/>
              </w:rPr>
              <w:t>+ Contributions</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b/>
                <w:bCs/>
                <w:color w:val="000000"/>
                <w:sz w:val="22"/>
              </w:rPr>
            </w:pPr>
            <w:r w:rsidRPr="00990131">
              <w:rPr>
                <w:b/>
                <w:bCs/>
                <w:color w:val="000000"/>
                <w:sz w:val="22"/>
              </w:rPr>
              <w:t>&lt;Distributions&gt;</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b/>
                <w:bCs/>
                <w:color w:val="000000"/>
                <w:sz w:val="22"/>
              </w:rPr>
            </w:pPr>
            <w:r w:rsidRPr="00990131">
              <w:rPr>
                <w:b/>
                <w:bCs/>
                <w:color w:val="000000"/>
                <w:sz w:val="22"/>
              </w:rPr>
              <w:t xml:space="preserve">Ending Balance at August 31, 2016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990131">
            <w:pPr>
              <w:rPr>
                <w:b/>
                <w:bCs/>
                <w:color w:val="000000"/>
                <w:sz w:val="22"/>
              </w:rPr>
            </w:pPr>
            <w:r w:rsidRPr="00990131">
              <w:rPr>
                <w:b/>
                <w:bCs/>
                <w:color w:val="000000"/>
                <w:sz w:val="22"/>
              </w:rPr>
              <w:t>Foundation for Community Health</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Prescription Rx Access</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10,445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7,125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(3,873)</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13,697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Transportation: Acram/Copake</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25,000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(15,634)</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9,366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Children's Mental Health Project</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20,238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(6,955)</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13,283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990131">
            <w:pPr>
              <w:rPr>
                <w:b/>
                <w:bCs/>
                <w:color w:val="000000"/>
                <w:sz w:val="22"/>
              </w:rPr>
            </w:pPr>
            <w:r w:rsidRPr="00990131">
              <w:rPr>
                <w:b/>
                <w:bCs/>
                <w:color w:val="000000"/>
                <w:sz w:val="22"/>
              </w:rPr>
              <w:t>Dyson Foundation</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rPr>
                <w:b/>
                <w:bCs/>
                <w:color w:val="000000"/>
                <w:sz w:val="22"/>
              </w:rPr>
            </w:pP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Prescription Rx Access</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25,000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(16,128)</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8,872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990131">
            <w:pPr>
              <w:rPr>
                <w:b/>
                <w:bCs/>
                <w:color w:val="000000"/>
                <w:sz w:val="22"/>
              </w:rPr>
            </w:pPr>
            <w:r w:rsidRPr="00990131">
              <w:rPr>
                <w:b/>
                <w:bCs/>
                <w:color w:val="000000"/>
                <w:sz w:val="22"/>
              </w:rPr>
              <w:lastRenderedPageBreak/>
              <w:t>NYS Grant Advances</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rPr>
                <w:b/>
                <w:bCs/>
                <w:color w:val="000000"/>
                <w:sz w:val="22"/>
              </w:rPr>
            </w:pP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sz w:val="22"/>
                <w:szCs w:val="20"/>
              </w:rPr>
            </w:pP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Cancer Services Program</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5,060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35,000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(20,045)</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20,015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Tobacco Free Program</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40,565 </w:t>
            </w: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79,750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(49,112)</w:t>
            </w: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71,203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color w:val="000000"/>
                <w:sz w:val="22"/>
              </w:rPr>
            </w:pPr>
            <w:r w:rsidRPr="00990131">
              <w:rPr>
                <w:color w:val="000000"/>
                <w:sz w:val="22"/>
              </w:rPr>
              <w:t>Health &amp; Recovery Plan (HCBS - HARP)</w:t>
            </w:r>
          </w:p>
        </w:tc>
        <w:tc>
          <w:tcPr>
            <w:tcW w:w="1845"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p>
        </w:tc>
        <w:tc>
          <w:tcPr>
            <w:tcW w:w="1882"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49,850 </w:t>
            </w:r>
          </w:p>
        </w:tc>
        <w:tc>
          <w:tcPr>
            <w:tcW w:w="2191"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p>
        </w:tc>
        <w:tc>
          <w:tcPr>
            <w:tcW w:w="2716" w:type="dxa"/>
            <w:gridSpan w:val="2"/>
            <w:tcBorders>
              <w:top w:val="nil"/>
              <w:left w:val="nil"/>
              <w:bottom w:val="nil"/>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49,850 </w:t>
            </w:r>
          </w:p>
        </w:tc>
      </w:tr>
      <w:tr w:rsidR="00990131" w:rsidRPr="00990131" w:rsidTr="00752B9A">
        <w:trPr>
          <w:trHeight w:val="315"/>
        </w:trPr>
        <w:tc>
          <w:tcPr>
            <w:tcW w:w="2886" w:type="dxa"/>
            <w:tcBorders>
              <w:top w:val="nil"/>
              <w:left w:val="nil"/>
              <w:bottom w:val="nil"/>
              <w:right w:val="nil"/>
            </w:tcBorders>
            <w:shd w:val="clear" w:color="auto" w:fill="auto"/>
            <w:vAlign w:val="center"/>
            <w:hideMark/>
          </w:tcPr>
          <w:p w:rsidR="00990131" w:rsidRPr="00990131" w:rsidRDefault="00990131" w:rsidP="00601B1D">
            <w:pPr>
              <w:rPr>
                <w:b/>
                <w:bCs/>
                <w:color w:val="000000"/>
                <w:sz w:val="22"/>
              </w:rPr>
            </w:pPr>
            <w:r w:rsidRPr="00990131">
              <w:rPr>
                <w:b/>
                <w:bCs/>
                <w:color w:val="000000"/>
                <w:sz w:val="22"/>
              </w:rPr>
              <w:t>Total Advance Funding Payable</w:t>
            </w:r>
          </w:p>
        </w:tc>
        <w:tc>
          <w:tcPr>
            <w:tcW w:w="1845" w:type="dxa"/>
            <w:gridSpan w:val="2"/>
            <w:tcBorders>
              <w:top w:val="single" w:sz="4" w:space="0" w:color="auto"/>
              <w:left w:val="nil"/>
              <w:bottom w:val="double" w:sz="6" w:space="0" w:color="auto"/>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76,308 </w:t>
            </w:r>
          </w:p>
        </w:tc>
        <w:tc>
          <w:tcPr>
            <w:tcW w:w="1882" w:type="dxa"/>
            <w:gridSpan w:val="2"/>
            <w:tcBorders>
              <w:top w:val="single" w:sz="4" w:space="0" w:color="auto"/>
              <w:left w:val="nil"/>
              <w:bottom w:val="double" w:sz="6" w:space="0" w:color="auto"/>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221,725 </w:t>
            </w:r>
          </w:p>
        </w:tc>
        <w:tc>
          <w:tcPr>
            <w:tcW w:w="2191" w:type="dxa"/>
            <w:gridSpan w:val="2"/>
            <w:tcBorders>
              <w:top w:val="single" w:sz="4" w:space="0" w:color="auto"/>
              <w:left w:val="nil"/>
              <w:bottom w:val="double" w:sz="6" w:space="0" w:color="auto"/>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(111,747)</w:t>
            </w:r>
          </w:p>
        </w:tc>
        <w:tc>
          <w:tcPr>
            <w:tcW w:w="2716" w:type="dxa"/>
            <w:gridSpan w:val="2"/>
            <w:tcBorders>
              <w:top w:val="single" w:sz="4" w:space="0" w:color="auto"/>
              <w:left w:val="nil"/>
              <w:bottom w:val="double" w:sz="6" w:space="0" w:color="auto"/>
              <w:right w:val="nil"/>
            </w:tcBorders>
            <w:shd w:val="clear" w:color="auto" w:fill="auto"/>
            <w:vAlign w:val="center"/>
            <w:hideMark/>
          </w:tcPr>
          <w:p w:rsidR="00990131" w:rsidRPr="00990131" w:rsidRDefault="00990131" w:rsidP="00990131">
            <w:pPr>
              <w:jc w:val="center"/>
              <w:rPr>
                <w:color w:val="000000"/>
                <w:sz w:val="22"/>
              </w:rPr>
            </w:pPr>
            <w:r w:rsidRPr="00990131">
              <w:rPr>
                <w:color w:val="000000"/>
                <w:sz w:val="22"/>
              </w:rPr>
              <w:t xml:space="preserve"> $              186,286 </w:t>
            </w:r>
          </w:p>
        </w:tc>
      </w:tr>
      <w:tr w:rsidR="00601B1D" w:rsidRPr="00601B1D" w:rsidTr="00752B9A">
        <w:trPr>
          <w:trHeight w:val="435"/>
        </w:trPr>
        <w:tc>
          <w:tcPr>
            <w:tcW w:w="11520" w:type="dxa"/>
            <w:gridSpan w:val="9"/>
            <w:tcBorders>
              <w:top w:val="nil"/>
              <w:left w:val="nil"/>
              <w:bottom w:val="nil"/>
              <w:right w:val="nil"/>
            </w:tcBorders>
            <w:shd w:val="clear" w:color="auto" w:fill="auto"/>
            <w:vAlign w:val="bottom"/>
            <w:hideMark/>
          </w:tcPr>
          <w:p w:rsidR="00601B1D" w:rsidRPr="00601B1D" w:rsidRDefault="00601B1D" w:rsidP="00601B1D">
            <w:pPr>
              <w:jc w:val="center"/>
              <w:rPr>
                <w:rFonts w:ascii="Wingdings" w:hAnsi="Wingdings" w:cs="Arial"/>
                <w:color w:val="000000"/>
              </w:rPr>
            </w:pPr>
            <w:r w:rsidRPr="00601B1D">
              <w:rPr>
                <w:rFonts w:ascii="Wingdings" w:hAnsi="Wingdings" w:cs="Arial"/>
                <w:color w:val="000000"/>
              </w:rPr>
              <w:t></w:t>
            </w:r>
            <w:r w:rsidRPr="00601B1D">
              <w:rPr>
                <w:color w:val="000000"/>
              </w:rPr>
              <w:t xml:space="preserve"> </w:t>
            </w:r>
            <w:r w:rsidRPr="00601B1D">
              <w:rPr>
                <w:rFonts w:ascii="Calibri" w:hAnsi="Calibri" w:cs="Arial"/>
                <w:b/>
                <w:bCs/>
                <w:color w:val="000000"/>
              </w:rPr>
              <w:t>Temporary Restricted Funds</w:t>
            </w:r>
            <w:r w:rsidRPr="00601B1D">
              <w:rPr>
                <w:rFonts w:ascii="Calibri" w:hAnsi="Calibri" w:cs="Arial"/>
                <w:color w:val="000000"/>
              </w:rPr>
              <w:t xml:space="preserve"> - Activity for the eight months ending August 30, 2016,</w:t>
            </w:r>
          </w:p>
        </w:tc>
      </w:tr>
      <w:tr w:rsidR="00601B1D" w:rsidRPr="00601B1D" w:rsidTr="00752B9A">
        <w:trPr>
          <w:trHeight w:val="94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jc w:val="center"/>
              <w:rPr>
                <w:b/>
                <w:bCs/>
                <w:color w:val="000000"/>
              </w:rPr>
            </w:pPr>
            <w:r w:rsidRPr="00601B1D">
              <w:rPr>
                <w:b/>
                <w:bCs/>
                <w:color w:val="000000"/>
              </w:rPr>
              <w:t>Fund Name</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b/>
                <w:bCs/>
                <w:color w:val="000000"/>
              </w:rPr>
            </w:pPr>
            <w:r w:rsidRPr="00601B1D">
              <w:rPr>
                <w:b/>
                <w:bCs/>
                <w:color w:val="000000"/>
              </w:rPr>
              <w:t xml:space="preserve">Beginning Balance at January 1st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b/>
                <w:bCs/>
                <w:color w:val="000000"/>
              </w:rPr>
            </w:pPr>
            <w:r w:rsidRPr="00601B1D">
              <w:rPr>
                <w:b/>
                <w:bCs/>
                <w:color w:val="000000"/>
              </w:rPr>
              <w:t>+ Contributions</w:t>
            </w: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b/>
                <w:bCs/>
                <w:color w:val="000000"/>
              </w:rPr>
            </w:pPr>
            <w:r w:rsidRPr="00601B1D">
              <w:rPr>
                <w:b/>
                <w:bCs/>
                <w:color w:val="000000"/>
              </w:rPr>
              <w:t>&lt;Distributions&gt;</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b/>
                <w:bCs/>
                <w:color w:val="000000"/>
              </w:rPr>
            </w:pPr>
            <w:r w:rsidRPr="00601B1D">
              <w:rPr>
                <w:b/>
                <w:bCs/>
                <w:color w:val="000000"/>
              </w:rPr>
              <w:t xml:space="preserve">Ending Balance at August 31, 2016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Columbia County</w:t>
            </w:r>
            <w:r w:rsidRPr="00601B1D">
              <w:rPr>
                <w:color w:val="000000"/>
                <w:sz w:val="22"/>
                <w:szCs w:val="22"/>
              </w:rPr>
              <w:t xml:space="preserve"> -</w:t>
            </w:r>
            <w:r w:rsidRPr="00601B1D">
              <w:rPr>
                <w:color w:val="000000"/>
                <w:sz w:val="18"/>
                <w:szCs w:val="18"/>
              </w:rPr>
              <w:t>CARTS &amp; Receptionist</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49,000 </w:t>
            </w: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(32,667)</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16,333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Columbia County Depts.-CARTS</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19,000 </w:t>
            </w: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(12,667)</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6,333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Columbia County Cancer Fund</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11,831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1,020 </w:t>
            </w: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(7,760)</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5,091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Greene County Cancer Fund</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8,690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3,478 </w:t>
            </w: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(2,252)</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9,916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Complementary Therapies</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6,955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(1,000)</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5,955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Jan Koweek Fund</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901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sz w:val="20"/>
                <w:szCs w:val="20"/>
              </w:rPr>
            </w:pP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901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rPr>
                <w:color w:val="000000"/>
              </w:rPr>
            </w:pPr>
            <w:r w:rsidRPr="00601B1D">
              <w:rPr>
                <w:color w:val="000000"/>
              </w:rPr>
              <w:t>Galvan Foundation-Bengali Project</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10,470 </w:t>
            </w:r>
          </w:p>
        </w:tc>
        <w:tc>
          <w:tcPr>
            <w:tcW w:w="189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p>
        </w:tc>
        <w:tc>
          <w:tcPr>
            <w:tcW w:w="1980" w:type="dxa"/>
            <w:gridSpan w:val="2"/>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(4,952)</w:t>
            </w:r>
          </w:p>
        </w:tc>
        <w:tc>
          <w:tcPr>
            <w:tcW w:w="2340" w:type="dxa"/>
            <w:tcBorders>
              <w:top w:val="nil"/>
              <w:left w:val="nil"/>
              <w:bottom w:val="nil"/>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5,518 </w:t>
            </w:r>
          </w:p>
        </w:tc>
      </w:tr>
      <w:tr w:rsidR="00601B1D" w:rsidRPr="00601B1D" w:rsidTr="00752B9A">
        <w:trPr>
          <w:trHeight w:val="315"/>
        </w:trPr>
        <w:tc>
          <w:tcPr>
            <w:tcW w:w="3420" w:type="dxa"/>
            <w:gridSpan w:val="2"/>
            <w:tcBorders>
              <w:top w:val="nil"/>
              <w:left w:val="nil"/>
              <w:bottom w:val="nil"/>
              <w:right w:val="nil"/>
            </w:tcBorders>
            <w:shd w:val="clear" w:color="auto" w:fill="auto"/>
            <w:vAlign w:val="center"/>
            <w:hideMark/>
          </w:tcPr>
          <w:p w:rsidR="00601B1D" w:rsidRPr="00601B1D" w:rsidRDefault="00601B1D" w:rsidP="00601B1D">
            <w:pPr>
              <w:jc w:val="right"/>
              <w:rPr>
                <w:color w:val="000000"/>
              </w:rPr>
            </w:pPr>
            <w:r w:rsidRPr="00601B1D">
              <w:rPr>
                <w:color w:val="000000"/>
              </w:rPr>
              <w:t>Totals of Temporary Restricted Funds</w:t>
            </w:r>
          </w:p>
        </w:tc>
        <w:tc>
          <w:tcPr>
            <w:tcW w:w="1890" w:type="dxa"/>
            <w:gridSpan w:val="2"/>
            <w:tcBorders>
              <w:top w:val="single" w:sz="4" w:space="0" w:color="auto"/>
              <w:left w:val="nil"/>
              <w:bottom w:val="double" w:sz="6" w:space="0" w:color="auto"/>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38,847 </w:t>
            </w:r>
          </w:p>
        </w:tc>
        <w:tc>
          <w:tcPr>
            <w:tcW w:w="1890" w:type="dxa"/>
            <w:gridSpan w:val="2"/>
            <w:tcBorders>
              <w:top w:val="single" w:sz="4" w:space="0" w:color="auto"/>
              <w:left w:val="nil"/>
              <w:bottom w:val="double" w:sz="6" w:space="0" w:color="auto"/>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72,498 </w:t>
            </w:r>
          </w:p>
        </w:tc>
        <w:tc>
          <w:tcPr>
            <w:tcW w:w="1980" w:type="dxa"/>
            <w:gridSpan w:val="2"/>
            <w:tcBorders>
              <w:top w:val="single" w:sz="4" w:space="0" w:color="auto"/>
              <w:left w:val="nil"/>
              <w:bottom w:val="double" w:sz="6" w:space="0" w:color="auto"/>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(61,297)</w:t>
            </w:r>
          </w:p>
        </w:tc>
        <w:tc>
          <w:tcPr>
            <w:tcW w:w="2340" w:type="dxa"/>
            <w:tcBorders>
              <w:top w:val="single" w:sz="4" w:space="0" w:color="auto"/>
              <w:left w:val="nil"/>
              <w:bottom w:val="double" w:sz="6" w:space="0" w:color="auto"/>
              <w:right w:val="nil"/>
            </w:tcBorders>
            <w:shd w:val="clear" w:color="auto" w:fill="auto"/>
            <w:vAlign w:val="center"/>
            <w:hideMark/>
          </w:tcPr>
          <w:p w:rsidR="00601B1D" w:rsidRPr="00601B1D" w:rsidRDefault="00601B1D" w:rsidP="00601B1D">
            <w:pPr>
              <w:jc w:val="center"/>
              <w:rPr>
                <w:color w:val="000000"/>
              </w:rPr>
            </w:pPr>
            <w:r w:rsidRPr="00601B1D">
              <w:rPr>
                <w:color w:val="000000"/>
              </w:rPr>
              <w:t xml:space="preserve"> $                50,047 </w:t>
            </w:r>
          </w:p>
        </w:tc>
      </w:tr>
    </w:tbl>
    <w:p w:rsidR="00385B16" w:rsidRPr="00990131" w:rsidRDefault="00385B16" w:rsidP="00990131"/>
    <w:sectPr w:rsidR="00385B16" w:rsidRPr="00990131" w:rsidSect="0099013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41E" w:rsidRDefault="009C541E" w:rsidP="00A96EC7">
      <w:r>
        <w:separator/>
      </w:r>
    </w:p>
  </w:endnote>
  <w:endnote w:type="continuationSeparator" w:id="0">
    <w:p w:rsidR="009C541E" w:rsidRDefault="009C541E"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41E" w:rsidRDefault="009C541E" w:rsidP="00A96EC7">
      <w:r>
        <w:separator/>
      </w:r>
    </w:p>
  </w:footnote>
  <w:footnote w:type="continuationSeparator" w:id="0">
    <w:p w:rsidR="009C541E" w:rsidRDefault="009C541E"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8"/>
  </w:num>
  <w:num w:numId="6">
    <w:abstractNumId w:val="9"/>
  </w:num>
  <w:num w:numId="7">
    <w:abstractNumId w:val="7"/>
  </w:num>
  <w:num w:numId="8">
    <w:abstractNumId w:val="6"/>
  </w:num>
  <w:num w:numId="9">
    <w:abstractNumId w:val="15"/>
  </w:num>
  <w:num w:numId="10">
    <w:abstractNumId w:val="11"/>
  </w:num>
  <w:num w:numId="11">
    <w:abstractNumId w:val="10"/>
  </w:num>
  <w:num w:numId="12">
    <w:abstractNumId w:val="14"/>
  </w:num>
  <w:num w:numId="13">
    <w:abstractNumId w:val="13"/>
  </w:num>
  <w:num w:numId="14">
    <w:abstractNumId w:val="1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2538"/>
    <w:rsid w:val="00064B5F"/>
    <w:rsid w:val="00071F28"/>
    <w:rsid w:val="00097F59"/>
    <w:rsid w:val="000A2D35"/>
    <w:rsid w:val="000B6DD7"/>
    <w:rsid w:val="000F0E3D"/>
    <w:rsid w:val="001274CB"/>
    <w:rsid w:val="00132B0A"/>
    <w:rsid w:val="001369A6"/>
    <w:rsid w:val="001515B8"/>
    <w:rsid w:val="001911CB"/>
    <w:rsid w:val="001E0050"/>
    <w:rsid w:val="001F64E2"/>
    <w:rsid w:val="00207444"/>
    <w:rsid w:val="00212943"/>
    <w:rsid w:val="002413F8"/>
    <w:rsid w:val="00247C27"/>
    <w:rsid w:val="00252DCF"/>
    <w:rsid w:val="002901B2"/>
    <w:rsid w:val="002A5029"/>
    <w:rsid w:val="002A5131"/>
    <w:rsid w:val="002C083B"/>
    <w:rsid w:val="002C0B80"/>
    <w:rsid w:val="002C4573"/>
    <w:rsid w:val="002E2F64"/>
    <w:rsid w:val="0030688B"/>
    <w:rsid w:val="00342789"/>
    <w:rsid w:val="00352709"/>
    <w:rsid w:val="003624D1"/>
    <w:rsid w:val="00385B16"/>
    <w:rsid w:val="003918B4"/>
    <w:rsid w:val="003F79C4"/>
    <w:rsid w:val="00412DDD"/>
    <w:rsid w:val="00421F8B"/>
    <w:rsid w:val="00475C88"/>
    <w:rsid w:val="004760AF"/>
    <w:rsid w:val="004A10B9"/>
    <w:rsid w:val="004C488F"/>
    <w:rsid w:val="004E0E27"/>
    <w:rsid w:val="004E41EF"/>
    <w:rsid w:val="004F7032"/>
    <w:rsid w:val="0050320B"/>
    <w:rsid w:val="00515E81"/>
    <w:rsid w:val="0055133D"/>
    <w:rsid w:val="00564F43"/>
    <w:rsid w:val="00575593"/>
    <w:rsid w:val="005A25ED"/>
    <w:rsid w:val="005B073F"/>
    <w:rsid w:val="005B4AC3"/>
    <w:rsid w:val="005C3C63"/>
    <w:rsid w:val="005C6D89"/>
    <w:rsid w:val="005D783D"/>
    <w:rsid w:val="005E7D1E"/>
    <w:rsid w:val="00601B1D"/>
    <w:rsid w:val="0062335B"/>
    <w:rsid w:val="006472C0"/>
    <w:rsid w:val="00690525"/>
    <w:rsid w:val="006C7D2A"/>
    <w:rsid w:val="006D2E29"/>
    <w:rsid w:val="006D5967"/>
    <w:rsid w:val="0070203E"/>
    <w:rsid w:val="00746F3D"/>
    <w:rsid w:val="00752B9A"/>
    <w:rsid w:val="00796B31"/>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A02AD5"/>
    <w:rsid w:val="00A03133"/>
    <w:rsid w:val="00A176E2"/>
    <w:rsid w:val="00A17DE4"/>
    <w:rsid w:val="00A42B94"/>
    <w:rsid w:val="00A7348F"/>
    <w:rsid w:val="00A806B4"/>
    <w:rsid w:val="00A82A4A"/>
    <w:rsid w:val="00A96EC7"/>
    <w:rsid w:val="00AA4696"/>
    <w:rsid w:val="00AF0735"/>
    <w:rsid w:val="00B241BE"/>
    <w:rsid w:val="00B44232"/>
    <w:rsid w:val="00B50F4B"/>
    <w:rsid w:val="00B568C6"/>
    <w:rsid w:val="00B57C39"/>
    <w:rsid w:val="00B60BAB"/>
    <w:rsid w:val="00BE2FC7"/>
    <w:rsid w:val="00BE50D6"/>
    <w:rsid w:val="00BE76E2"/>
    <w:rsid w:val="00C14518"/>
    <w:rsid w:val="00C31650"/>
    <w:rsid w:val="00C50DA8"/>
    <w:rsid w:val="00C827EF"/>
    <w:rsid w:val="00C95C54"/>
    <w:rsid w:val="00CA7BEE"/>
    <w:rsid w:val="00CC293F"/>
    <w:rsid w:val="00CE1DBC"/>
    <w:rsid w:val="00D12FA2"/>
    <w:rsid w:val="00D14318"/>
    <w:rsid w:val="00D46062"/>
    <w:rsid w:val="00D70608"/>
    <w:rsid w:val="00D81AA6"/>
    <w:rsid w:val="00D94F56"/>
    <w:rsid w:val="00DA2F4A"/>
    <w:rsid w:val="00DA6950"/>
    <w:rsid w:val="00DB62FF"/>
    <w:rsid w:val="00E81E94"/>
    <w:rsid w:val="00E91034"/>
    <w:rsid w:val="00EB0D94"/>
    <w:rsid w:val="00EB6FD4"/>
    <w:rsid w:val="00EC3403"/>
    <w:rsid w:val="00F007AD"/>
    <w:rsid w:val="00F01099"/>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Financial%20Report%2008%2031%202016%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Financial%20Report%2008%2031%202016%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61520982863"/>
          <c:y val="0.16245370514456442"/>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'[2]Fiscal Highlights'!$V$59:$V$88</c:f>
              <c:numCache>
                <c:formatCode>General</c:formatCode>
                <c:ptCount val="30"/>
                <c:pt idx="7">
                  <c:v>42186</c:v>
                </c:pt>
                <c:pt idx="8">
                  <c:v>42217</c:v>
                </c:pt>
                <c:pt idx="9">
                  <c:v>42248</c:v>
                </c:pt>
                <c:pt idx="12">
                  <c:v>42278</c:v>
                </c:pt>
                <c:pt idx="13">
                  <c:v>42309</c:v>
                </c:pt>
                <c:pt idx="14">
                  <c:v>42339</c:v>
                </c:pt>
                <c:pt idx="15">
                  <c:v>42370</c:v>
                </c:pt>
                <c:pt idx="16">
                  <c:v>42401</c:v>
                </c:pt>
                <c:pt idx="17">
                  <c:v>42430</c:v>
                </c:pt>
                <c:pt idx="18">
                  <c:v>42461</c:v>
                </c:pt>
                <c:pt idx="19">
                  <c:v>42491</c:v>
                </c:pt>
                <c:pt idx="20">
                  <c:v>42551</c:v>
                </c:pt>
                <c:pt idx="21">
                  <c:v>42582</c:v>
                </c:pt>
                <c:pt idx="22">
                  <c:v>42583</c:v>
                </c:pt>
              </c:numCache>
            </c:numRef>
          </c:cat>
          <c:val>
            <c:numRef>
              <c:f>'[2]Fiscal Highlights'!$W$59:$W$88</c:f>
              <c:numCache>
                <c:formatCode>General</c:formatCode>
                <c:ptCount val="30"/>
                <c:pt idx="7">
                  <c:v>271416.40000000002</c:v>
                </c:pt>
                <c:pt idx="8">
                  <c:v>147240.4</c:v>
                </c:pt>
                <c:pt idx="9">
                  <c:v>156700</c:v>
                </c:pt>
                <c:pt idx="12">
                  <c:v>224005.57</c:v>
                </c:pt>
                <c:pt idx="13">
                  <c:v>212998.66</c:v>
                </c:pt>
                <c:pt idx="14">
                  <c:v>256955.64</c:v>
                </c:pt>
                <c:pt idx="15">
                  <c:v>368765.26</c:v>
                </c:pt>
                <c:pt idx="16">
                  <c:v>294586.56</c:v>
                </c:pt>
                <c:pt idx="17">
                  <c:v>253840.62</c:v>
                </c:pt>
                <c:pt idx="18">
                  <c:v>293601.03999999998</c:v>
                </c:pt>
                <c:pt idx="19">
                  <c:v>333425.09999999998</c:v>
                </c:pt>
                <c:pt idx="20">
                  <c:v>376855.16</c:v>
                </c:pt>
                <c:pt idx="21">
                  <c:v>285263.78999999998</c:v>
                </c:pt>
                <c:pt idx="22">
                  <c:v>182097.31</c:v>
                </c:pt>
              </c:numCache>
            </c:numRef>
          </c:val>
        </c:ser>
        <c:dLbls>
          <c:showLegendKey val="0"/>
          <c:showVal val="0"/>
          <c:showCatName val="0"/>
          <c:showSerName val="0"/>
          <c:showPercent val="0"/>
          <c:showBubbleSize val="0"/>
        </c:dLbls>
        <c:gapWidth val="219"/>
        <c:overlap val="-27"/>
        <c:axId val="126884344"/>
        <c:axId val="126888824"/>
      </c:barChart>
      <c:catAx>
        <c:axId val="1268843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888824"/>
        <c:crosses val="autoZero"/>
        <c:auto val="1"/>
        <c:lblAlgn val="ctr"/>
        <c:lblOffset val="100"/>
        <c:noMultiLvlLbl val="1"/>
      </c:catAx>
      <c:valAx>
        <c:axId val="126888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884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7969619739561546E-2"/>
          <c:y val="0.16484450213280916"/>
          <c:w val="0.86912941477724182"/>
          <c:h val="0.62123819258817148"/>
        </c:manualLayout>
      </c:layout>
      <c:lineChart>
        <c:grouping val="standard"/>
        <c:varyColors val="0"/>
        <c:ser>
          <c:idx val="0"/>
          <c:order val="0"/>
          <c:tx>
            <c:strRef>
              <c:f>[2]Data!$B$3</c:f>
              <c:strCache>
                <c:ptCount val="1"/>
                <c:pt idx="0">
                  <c:v>Balance</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[2]Data!$A$4:$A$191</c:f>
              <c:numCache>
                <c:formatCode>General</c:formatCode>
                <c:ptCount val="188"/>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c:v>42544</c:v>
                </c:pt>
                <c:pt idx="125">
                  <c:v>42545</c:v>
                </c:pt>
                <c:pt idx="126">
                  <c:v>42548</c:v>
                </c:pt>
                <c:pt idx="127">
                  <c:v>42549</c:v>
                </c:pt>
                <c:pt idx="128">
                  <c:v>42550</c:v>
                </c:pt>
                <c:pt idx="129">
                  <c:v>42551</c:v>
                </c:pt>
                <c:pt idx="130">
                  <c:v>42552</c:v>
                </c:pt>
                <c:pt idx="131">
                  <c:v>42555</c:v>
                </c:pt>
                <c:pt idx="132">
                  <c:v>42556</c:v>
                </c:pt>
                <c:pt idx="133">
                  <c:v>42557</c:v>
                </c:pt>
                <c:pt idx="134">
                  <c:v>42558</c:v>
                </c:pt>
                <c:pt idx="135">
                  <c:v>42559</c:v>
                </c:pt>
                <c:pt idx="136">
                  <c:v>42562</c:v>
                </c:pt>
                <c:pt idx="137">
                  <c:v>42563</c:v>
                </c:pt>
                <c:pt idx="138">
                  <c:v>42564</c:v>
                </c:pt>
                <c:pt idx="139">
                  <c:v>42565</c:v>
                </c:pt>
                <c:pt idx="140">
                  <c:v>42566</c:v>
                </c:pt>
                <c:pt idx="141">
                  <c:v>42569</c:v>
                </c:pt>
                <c:pt idx="142">
                  <c:v>42570</c:v>
                </c:pt>
                <c:pt idx="143">
                  <c:v>42571</c:v>
                </c:pt>
                <c:pt idx="144">
                  <c:v>42572</c:v>
                </c:pt>
                <c:pt idx="145">
                  <c:v>42573</c:v>
                </c:pt>
                <c:pt idx="146">
                  <c:v>42576</c:v>
                </c:pt>
                <c:pt idx="147">
                  <c:v>42577</c:v>
                </c:pt>
                <c:pt idx="148">
                  <c:v>42578</c:v>
                </c:pt>
                <c:pt idx="149">
                  <c:v>42579</c:v>
                </c:pt>
                <c:pt idx="150">
                  <c:v>42580</c:v>
                </c:pt>
                <c:pt idx="151">
                  <c:v>42583</c:v>
                </c:pt>
                <c:pt idx="152">
                  <c:v>42584</c:v>
                </c:pt>
                <c:pt idx="153">
                  <c:v>42585</c:v>
                </c:pt>
                <c:pt idx="154">
                  <c:v>42586</c:v>
                </c:pt>
                <c:pt idx="155">
                  <c:v>42587</c:v>
                </c:pt>
                <c:pt idx="156">
                  <c:v>42590</c:v>
                </c:pt>
                <c:pt idx="157">
                  <c:v>42591</c:v>
                </c:pt>
                <c:pt idx="158">
                  <c:v>42592</c:v>
                </c:pt>
                <c:pt idx="159">
                  <c:v>42593</c:v>
                </c:pt>
                <c:pt idx="160">
                  <c:v>42594</c:v>
                </c:pt>
                <c:pt idx="161">
                  <c:v>42597</c:v>
                </c:pt>
                <c:pt idx="162">
                  <c:v>42598</c:v>
                </c:pt>
                <c:pt idx="163">
                  <c:v>42599</c:v>
                </c:pt>
                <c:pt idx="164">
                  <c:v>42600</c:v>
                </c:pt>
                <c:pt idx="165">
                  <c:v>42601</c:v>
                </c:pt>
                <c:pt idx="166">
                  <c:v>42604</c:v>
                </c:pt>
                <c:pt idx="167">
                  <c:v>42605</c:v>
                </c:pt>
                <c:pt idx="168">
                  <c:v>42606</c:v>
                </c:pt>
                <c:pt idx="169">
                  <c:v>42607</c:v>
                </c:pt>
                <c:pt idx="170">
                  <c:v>42608</c:v>
                </c:pt>
                <c:pt idx="171">
                  <c:v>42611</c:v>
                </c:pt>
                <c:pt idx="172">
                  <c:v>42612</c:v>
                </c:pt>
                <c:pt idx="173">
                  <c:v>42613</c:v>
                </c:pt>
                <c:pt idx="174">
                  <c:v>42614</c:v>
                </c:pt>
                <c:pt idx="175">
                  <c:v>42615</c:v>
                </c:pt>
                <c:pt idx="176">
                  <c:v>42618</c:v>
                </c:pt>
                <c:pt idx="177">
                  <c:v>42619</c:v>
                </c:pt>
                <c:pt idx="178">
                  <c:v>42620</c:v>
                </c:pt>
                <c:pt idx="179">
                  <c:v>42621</c:v>
                </c:pt>
                <c:pt idx="180">
                  <c:v>42622</c:v>
                </c:pt>
                <c:pt idx="181">
                  <c:v>42625</c:v>
                </c:pt>
                <c:pt idx="182">
                  <c:v>42626</c:v>
                </c:pt>
                <c:pt idx="183">
                  <c:v>42627</c:v>
                </c:pt>
                <c:pt idx="184">
                  <c:v>42628</c:v>
                </c:pt>
                <c:pt idx="185">
                  <c:v>42629</c:v>
                </c:pt>
                <c:pt idx="186">
                  <c:v>42632</c:v>
                </c:pt>
                <c:pt idx="187">
                  <c:v>42633</c:v>
                </c:pt>
              </c:numCache>
            </c:numRef>
          </c:cat>
          <c:val>
            <c:numRef>
              <c:f>[2]Data!$B$4:$B$191</c:f>
              <c:numCache>
                <c:formatCode>General</c:formatCode>
                <c:ptCount val="188"/>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pt idx="169">
                  <c:v>359591.19</c:v>
                </c:pt>
                <c:pt idx="170">
                  <c:v>399163.14</c:v>
                </c:pt>
                <c:pt idx="171">
                  <c:v>407196.62</c:v>
                </c:pt>
                <c:pt idx="172">
                  <c:v>422526.97</c:v>
                </c:pt>
                <c:pt idx="173">
                  <c:v>479216.05</c:v>
                </c:pt>
                <c:pt idx="174">
                  <c:v>479216</c:v>
                </c:pt>
                <c:pt idx="175">
                  <c:v>479216</c:v>
                </c:pt>
                <c:pt idx="176">
                  <c:v>479216</c:v>
                </c:pt>
                <c:pt idx="177">
                  <c:v>440784.82</c:v>
                </c:pt>
                <c:pt idx="178">
                  <c:v>440785</c:v>
                </c:pt>
                <c:pt idx="179">
                  <c:v>445373.31</c:v>
                </c:pt>
                <c:pt idx="180">
                  <c:v>463896.46</c:v>
                </c:pt>
                <c:pt idx="181">
                  <c:v>463296.46</c:v>
                </c:pt>
                <c:pt idx="182">
                  <c:v>465024.54</c:v>
                </c:pt>
                <c:pt idx="183">
                  <c:v>465025</c:v>
                </c:pt>
                <c:pt idx="184">
                  <c:v>447444.34</c:v>
                </c:pt>
                <c:pt idx="185">
                  <c:v>451065.43</c:v>
                </c:pt>
                <c:pt idx="186">
                  <c:v>413854.52</c:v>
                </c:pt>
                <c:pt idx="187">
                  <c:v>394874.22</c:v>
                </c:pt>
              </c:numCache>
            </c:numRef>
          </c:val>
          <c:smooth val="0"/>
        </c:ser>
        <c:dLbls>
          <c:showLegendKey val="0"/>
          <c:showVal val="0"/>
          <c:showCatName val="0"/>
          <c:showSerName val="0"/>
          <c:showPercent val="0"/>
          <c:showBubbleSize val="0"/>
        </c:dLbls>
        <c:smooth val="0"/>
        <c:axId val="126546824"/>
        <c:axId val="126551816"/>
      </c:lineChart>
      <c:catAx>
        <c:axId val="1265468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51816"/>
        <c:crosses val="autoZero"/>
        <c:auto val="1"/>
        <c:lblAlgn val="ctr"/>
        <c:lblOffset val="100"/>
        <c:noMultiLvlLbl val="1"/>
      </c:catAx>
      <c:valAx>
        <c:axId val="126551816"/>
        <c:scaling>
          <c:orientation val="minMax"/>
        </c:scaling>
        <c:delete val="0"/>
        <c:axPos val="l"/>
        <c:majorGridlines>
          <c:spPr>
            <a:ln w="9525" cap="flat" cmpd="sng" algn="ctr">
              <a:solidFill>
                <a:schemeClr val="accent1"/>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4682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F5909-86C0-44A0-B31A-11806055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Aleshia Boyle</cp:lastModifiedBy>
  <cp:revision>3</cp:revision>
  <dcterms:created xsi:type="dcterms:W3CDTF">2016-09-28T19:27:00Z</dcterms:created>
  <dcterms:modified xsi:type="dcterms:W3CDTF">2016-09-28T19:32:00Z</dcterms:modified>
</cp:coreProperties>
</file>