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A512A1">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A512A1">
      <w:pPr>
        <w:ind w:left="-1440" w:right="-1440"/>
        <w:jc w:val="center"/>
        <w:rPr>
          <w:b/>
        </w:rPr>
      </w:pPr>
      <w:r w:rsidRPr="001E0050">
        <w:rPr>
          <w:b/>
        </w:rPr>
        <w:t>MEETING NOTES</w:t>
      </w:r>
    </w:p>
    <w:p w:rsidR="006D2E29" w:rsidRPr="001E0050" w:rsidRDefault="006D2E29" w:rsidP="00A512A1">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8287"/>
        <w:gridCol w:w="4500"/>
      </w:tblGrid>
      <w:tr w:rsidR="006D2E29" w:rsidRPr="001E0050" w:rsidTr="006E7DAB">
        <w:tc>
          <w:tcPr>
            <w:tcW w:w="10080" w:type="dxa"/>
            <w:gridSpan w:val="2"/>
          </w:tcPr>
          <w:p w:rsidR="006D2E29" w:rsidRPr="001E0050" w:rsidRDefault="006D2E29" w:rsidP="00A512A1">
            <w:pPr>
              <w:rPr>
                <w:b/>
              </w:rPr>
            </w:pPr>
            <w:r w:rsidRPr="001E0050">
              <w:rPr>
                <w:b/>
              </w:rPr>
              <w:t xml:space="preserve">Committee:   </w:t>
            </w:r>
            <w:r w:rsidR="00E91034" w:rsidRPr="001E0050">
              <w:rPr>
                <w:b/>
              </w:rPr>
              <w:t>Budget and Finance</w:t>
            </w:r>
          </w:p>
        </w:tc>
        <w:tc>
          <w:tcPr>
            <w:tcW w:w="4500" w:type="dxa"/>
          </w:tcPr>
          <w:p w:rsidR="0055133D" w:rsidRPr="001E0050" w:rsidRDefault="006D2E29" w:rsidP="004159EC">
            <w:pPr>
              <w:rPr>
                <w:b/>
              </w:rPr>
            </w:pPr>
            <w:r w:rsidRPr="001E0050">
              <w:rPr>
                <w:b/>
              </w:rPr>
              <w:t xml:space="preserve">Date:    </w:t>
            </w:r>
            <w:r w:rsidR="004159EC">
              <w:rPr>
                <w:b/>
              </w:rPr>
              <w:t>June 5</w:t>
            </w:r>
            <w:r w:rsidR="00185FE8">
              <w:rPr>
                <w:b/>
              </w:rPr>
              <w:t>, 2018</w:t>
            </w:r>
          </w:p>
        </w:tc>
      </w:tr>
      <w:tr w:rsidR="00D81AA6" w:rsidRPr="001E0050" w:rsidTr="006E7DAB">
        <w:trPr>
          <w:trHeight w:val="275"/>
        </w:trPr>
        <w:tc>
          <w:tcPr>
            <w:tcW w:w="10080" w:type="dxa"/>
            <w:gridSpan w:val="2"/>
            <w:vMerge w:val="restart"/>
            <w:vAlign w:val="center"/>
          </w:tcPr>
          <w:p w:rsidR="008B76AC" w:rsidRDefault="00D81AA6" w:rsidP="00A512A1">
            <w:pPr>
              <w:rPr>
                <w:b/>
              </w:rPr>
            </w:pPr>
            <w:r w:rsidRPr="001E0050">
              <w:rPr>
                <w:b/>
              </w:rPr>
              <w:t>Board Members Attending:</w:t>
            </w:r>
            <w:r w:rsidR="003F79C4">
              <w:rPr>
                <w:b/>
              </w:rPr>
              <w:t xml:space="preserve"> </w:t>
            </w:r>
            <w:r w:rsidR="004159EC">
              <w:rPr>
                <w:b/>
              </w:rPr>
              <w:t xml:space="preserve">Jack Mabb (Chair), </w:t>
            </w:r>
            <w:r w:rsidR="00C27C64">
              <w:rPr>
                <w:b/>
              </w:rPr>
              <w:t xml:space="preserve">Robin Andrews, </w:t>
            </w:r>
            <w:r w:rsidR="004159EC">
              <w:rPr>
                <w:b/>
              </w:rPr>
              <w:t xml:space="preserve">Bob Gibson, </w:t>
            </w:r>
            <w:r w:rsidR="008B76AC">
              <w:rPr>
                <w:b/>
              </w:rPr>
              <w:t xml:space="preserve">Jim Campion, </w:t>
            </w:r>
            <w:r w:rsidR="004159EC">
              <w:rPr>
                <w:b/>
              </w:rPr>
              <w:t>PJ Keeler</w:t>
            </w:r>
          </w:p>
          <w:p w:rsidR="001A7704" w:rsidRPr="001E0050" w:rsidRDefault="00D81AA6" w:rsidP="004159EC">
            <w:r w:rsidRPr="001E0050">
              <w:rPr>
                <w:b/>
              </w:rPr>
              <w:t xml:space="preserve">Board Members Absent:  </w:t>
            </w:r>
            <w:r w:rsidR="004159EC">
              <w:rPr>
                <w:b/>
              </w:rPr>
              <w:t>Ken Stall, Chelly Hegan</w:t>
            </w:r>
          </w:p>
        </w:tc>
        <w:tc>
          <w:tcPr>
            <w:tcW w:w="4500" w:type="dxa"/>
          </w:tcPr>
          <w:p w:rsidR="00D81AA6" w:rsidRPr="001E0050" w:rsidRDefault="00D81AA6" w:rsidP="00185FE8">
            <w:pPr>
              <w:rPr>
                <w:b/>
              </w:rPr>
            </w:pPr>
            <w:r w:rsidRPr="001E0050">
              <w:rPr>
                <w:b/>
              </w:rPr>
              <w:t xml:space="preserve">Guests: </w:t>
            </w:r>
            <w:r w:rsidR="00185FE8">
              <w:rPr>
                <w:b/>
              </w:rPr>
              <w:t>None</w:t>
            </w:r>
          </w:p>
        </w:tc>
      </w:tr>
      <w:tr w:rsidR="00D81AA6" w:rsidRPr="001E0050" w:rsidTr="006E7DAB">
        <w:trPr>
          <w:trHeight w:val="296"/>
        </w:trPr>
        <w:tc>
          <w:tcPr>
            <w:tcW w:w="10080" w:type="dxa"/>
            <w:gridSpan w:val="2"/>
            <w:vMerge/>
          </w:tcPr>
          <w:p w:rsidR="00D81AA6" w:rsidRPr="001E0050" w:rsidRDefault="00D81AA6" w:rsidP="00A512A1">
            <w:pPr>
              <w:rPr>
                <w:b/>
              </w:rPr>
            </w:pPr>
          </w:p>
        </w:tc>
        <w:tc>
          <w:tcPr>
            <w:tcW w:w="4500" w:type="dxa"/>
          </w:tcPr>
          <w:p w:rsidR="00D81AA6" w:rsidRPr="001E0050" w:rsidRDefault="00D81AA6" w:rsidP="00A512A1">
            <w:pPr>
              <w:rPr>
                <w:b/>
              </w:rPr>
            </w:pPr>
            <w:r w:rsidRPr="001E0050">
              <w:rPr>
                <w:b/>
              </w:rPr>
              <w:t>Staff Members Attending: Claire Parde</w:t>
            </w:r>
            <w:r w:rsidR="004E0E27">
              <w:rPr>
                <w:b/>
              </w:rPr>
              <w:t xml:space="preserve"> and John Ray</w:t>
            </w:r>
          </w:p>
        </w:tc>
      </w:tr>
      <w:tr w:rsidR="006D2E29" w:rsidRPr="001E0050" w:rsidTr="00151D8B">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SUMMARY OF TOPIC DISCUSSED</w:t>
            </w:r>
          </w:p>
        </w:tc>
      </w:tr>
      <w:tr w:rsidR="004159EC"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4159EC" w:rsidRPr="001E0050" w:rsidRDefault="009E6745" w:rsidP="004159EC">
            <w:pPr>
              <w:spacing w:before="120" w:after="120"/>
            </w:pPr>
            <w:r>
              <w:t>Search for a new Financial Advisor</w:t>
            </w:r>
          </w:p>
        </w:tc>
        <w:tc>
          <w:tcPr>
            <w:tcW w:w="12787" w:type="dxa"/>
            <w:gridSpan w:val="2"/>
            <w:tcBorders>
              <w:top w:val="single" w:sz="4" w:space="0" w:color="auto"/>
              <w:left w:val="single" w:sz="4" w:space="0" w:color="auto"/>
              <w:bottom w:val="single" w:sz="4" w:space="0" w:color="auto"/>
            </w:tcBorders>
            <w:vAlign w:val="center"/>
          </w:tcPr>
          <w:p w:rsidR="004159EC" w:rsidRDefault="009E6745" w:rsidP="00480FCD">
            <w:pPr>
              <w:spacing w:before="120" w:after="120"/>
            </w:pPr>
            <w:r>
              <w:t>At the last meeting, it was decided that the Committee would identify a new financial advisor, and Claire was tasked with contacting the individuals recommended by the Committee</w:t>
            </w:r>
            <w:r w:rsidR="00480FCD">
              <w:t>, one of which was Robert Hennes, Director of Nonprofit Services at Hugh Johnson Advisors.  While Bob reported that he could not undertake to manage the account, due to its small size, that he would provide technical assistance to the committee on a pro bono basis. Claire subsequently sent him the agency’s investment policy, which he immediately recognized as being out of compliance with the New York Prudent Management of Institutional Funds Act of 2010, or NYPMIFA.  Bob drafted a compliant policy on behalf of the Consortium, which the Committee reviewed.</w:t>
            </w:r>
          </w:p>
          <w:p w:rsidR="00480FCD" w:rsidRPr="001E0050" w:rsidRDefault="00480FCD" w:rsidP="00480FCD">
            <w:pPr>
              <w:spacing w:before="120" w:after="120"/>
            </w:pPr>
            <w:r>
              <w:t xml:space="preserve">The Committee was concerned about the reference to the fund as an “endowment” and asked Claire to address this concern with Bob. </w:t>
            </w:r>
            <w:r w:rsidR="002C2381">
              <w:t xml:space="preserve">Thereafter, she will send a revised document, which she asked all members to carefully review and offer comment. </w:t>
            </w:r>
          </w:p>
        </w:tc>
      </w:tr>
      <w:tr w:rsidR="004159EC"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4159EC" w:rsidRPr="001E0050" w:rsidRDefault="004159EC" w:rsidP="004159EC">
            <w:pPr>
              <w:spacing w:before="120" w:after="120"/>
            </w:pPr>
            <w:r w:rsidRPr="001E0050">
              <w:t>Highlights from the Financial Reports</w:t>
            </w:r>
          </w:p>
          <w:p w:rsidR="004159EC" w:rsidRDefault="004159EC" w:rsidP="004159EC">
            <w:pPr>
              <w:spacing w:before="120" w:after="120"/>
            </w:pPr>
          </w:p>
        </w:tc>
        <w:tc>
          <w:tcPr>
            <w:tcW w:w="12787" w:type="dxa"/>
            <w:gridSpan w:val="2"/>
            <w:tcBorders>
              <w:top w:val="single" w:sz="4" w:space="0" w:color="auto"/>
              <w:left w:val="single" w:sz="4" w:space="0" w:color="auto"/>
              <w:bottom w:val="single" w:sz="4" w:space="0" w:color="auto"/>
            </w:tcBorders>
            <w:vAlign w:val="center"/>
          </w:tcPr>
          <w:p w:rsidR="004159EC" w:rsidRDefault="004159EC" w:rsidP="00480FCD">
            <w:pPr>
              <w:spacing w:before="120" w:after="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480FCD">
              <w:t>April 30</w:t>
            </w:r>
            <w:r>
              <w:t xml:space="preserve">, 2018. John Ray offered his “Fiscal Highlights” (see attached).  </w:t>
            </w:r>
          </w:p>
        </w:tc>
      </w:tr>
      <w:tr w:rsidR="004159EC"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4159EC" w:rsidRDefault="004159EC" w:rsidP="004159EC">
            <w:pPr>
              <w:spacing w:before="120" w:after="120"/>
            </w:pPr>
            <w:r>
              <w:t>Review of Fiscal Policies</w:t>
            </w:r>
          </w:p>
        </w:tc>
        <w:tc>
          <w:tcPr>
            <w:tcW w:w="12787" w:type="dxa"/>
            <w:gridSpan w:val="2"/>
            <w:tcBorders>
              <w:top w:val="single" w:sz="4" w:space="0" w:color="auto"/>
              <w:left w:val="single" w:sz="4" w:space="0" w:color="auto"/>
              <w:bottom w:val="single" w:sz="4" w:space="0" w:color="auto"/>
            </w:tcBorders>
            <w:vAlign w:val="center"/>
          </w:tcPr>
          <w:p w:rsidR="004159EC" w:rsidRDefault="00E455C8" w:rsidP="0002536C">
            <w:pPr>
              <w:spacing w:before="120" w:after="120"/>
            </w:pPr>
            <w:r>
              <w:t>At the last meeting, t</w:t>
            </w:r>
            <w:r w:rsidR="004159EC">
              <w:t>he Committee decided to conduct a comprehensive re</w:t>
            </w:r>
            <w:r>
              <w:t xml:space="preserve">view of all the fiscal policies, and </w:t>
            </w:r>
            <w:r w:rsidR="004159EC">
              <w:t xml:space="preserve">asked John and Claire to review the policies and offer their recommendations for changes at </w:t>
            </w:r>
            <w:r w:rsidR="0002536C">
              <w:t xml:space="preserve">this </w:t>
            </w:r>
            <w:r w:rsidR="004159EC">
              <w:t xml:space="preserve">meeting. </w:t>
            </w:r>
            <w:r w:rsidR="0002536C">
              <w:t xml:space="preserve">They did so, but the Committee was unable to review them due to lack of time. Claire committed to circulate the electronic version of the policies to the Committee a week prior to the next meeting for all members to review. </w:t>
            </w:r>
            <w:bookmarkStart w:id="0" w:name="_GoBack"/>
            <w:bookmarkEnd w:id="0"/>
          </w:p>
        </w:tc>
      </w:tr>
      <w:tr w:rsidR="004159EC" w:rsidRPr="001E0050" w:rsidTr="00151D8B">
        <w:trPr>
          <w:trHeight w:val="530"/>
        </w:trPr>
        <w:tc>
          <w:tcPr>
            <w:tcW w:w="1793" w:type="dxa"/>
            <w:tcBorders>
              <w:top w:val="single" w:sz="4" w:space="0" w:color="auto"/>
              <w:left w:val="single" w:sz="8" w:space="0" w:color="auto"/>
              <w:bottom w:val="single" w:sz="4" w:space="0" w:color="auto"/>
              <w:right w:val="single" w:sz="4" w:space="0" w:color="auto"/>
            </w:tcBorders>
            <w:vAlign w:val="center"/>
          </w:tcPr>
          <w:p w:rsidR="004159EC" w:rsidRPr="001E0050" w:rsidRDefault="004159EC" w:rsidP="004159EC">
            <w:r>
              <w:t>Next mtng</w:t>
            </w:r>
          </w:p>
        </w:tc>
        <w:tc>
          <w:tcPr>
            <w:tcW w:w="12787" w:type="dxa"/>
            <w:gridSpan w:val="2"/>
            <w:tcBorders>
              <w:top w:val="single" w:sz="4" w:space="0" w:color="auto"/>
              <w:left w:val="single" w:sz="4" w:space="0" w:color="auto"/>
              <w:bottom w:val="single" w:sz="4" w:space="0" w:color="auto"/>
            </w:tcBorders>
            <w:vAlign w:val="center"/>
          </w:tcPr>
          <w:p w:rsidR="004159EC" w:rsidRPr="001E0050" w:rsidRDefault="004159EC" w:rsidP="006764D2">
            <w:pPr>
              <w:spacing w:before="120"/>
            </w:pPr>
            <w:r w:rsidRPr="005D783D">
              <w:t xml:space="preserve">The next meeting is </w:t>
            </w:r>
            <w:r w:rsidR="006764D2">
              <w:rPr>
                <w:b/>
              </w:rPr>
              <w:t>July 17</w:t>
            </w:r>
            <w:r>
              <w:rPr>
                <w:b/>
              </w:rPr>
              <w:t>th</w:t>
            </w:r>
            <w:r>
              <w:t xml:space="preserve"> </w:t>
            </w:r>
            <w:r w:rsidRPr="00B75C3E">
              <w:rPr>
                <w:b/>
              </w:rPr>
              <w:t>at 3:00 p.m.</w:t>
            </w:r>
          </w:p>
        </w:tc>
      </w:tr>
    </w:tbl>
    <w:p w:rsidR="00151D8B" w:rsidRDefault="00151D8B" w:rsidP="00A512A1">
      <w:pPr>
        <w:sectPr w:rsidR="00151D8B" w:rsidSect="006C5404">
          <w:pgSz w:w="15840" w:h="12240" w:orient="landscape"/>
          <w:pgMar w:top="720" w:right="576" w:bottom="720" w:left="720" w:header="720" w:footer="720" w:gutter="0"/>
          <w:cols w:space="720"/>
          <w:docGrid w:linePitch="360"/>
        </w:sectPr>
      </w:pPr>
    </w:p>
    <w:tbl>
      <w:tblPr>
        <w:tblW w:w="0" w:type="auto"/>
        <w:tblLook w:val="04A0" w:firstRow="1" w:lastRow="0" w:firstColumn="1" w:lastColumn="0" w:noHBand="0" w:noVBand="1"/>
      </w:tblPr>
      <w:tblGrid>
        <w:gridCol w:w="221"/>
        <w:gridCol w:w="879"/>
        <w:gridCol w:w="1751"/>
        <w:gridCol w:w="1773"/>
        <w:gridCol w:w="1712"/>
        <w:gridCol w:w="1762"/>
        <w:gridCol w:w="1880"/>
        <w:gridCol w:w="822"/>
      </w:tblGrid>
      <w:tr w:rsidR="009E6745" w:rsidRPr="009E6745" w:rsidTr="009E6745">
        <w:trPr>
          <w:trHeight w:val="465"/>
        </w:trPr>
        <w:tc>
          <w:tcPr>
            <w:tcW w:w="0" w:type="auto"/>
            <w:gridSpan w:val="8"/>
            <w:tcBorders>
              <w:top w:val="nil"/>
              <w:left w:val="nil"/>
              <w:bottom w:val="nil"/>
              <w:right w:val="nil"/>
            </w:tcBorders>
            <w:shd w:val="clear" w:color="auto" w:fill="auto"/>
            <w:noWrap/>
            <w:vAlign w:val="center"/>
            <w:hideMark/>
          </w:tcPr>
          <w:p w:rsidR="009E6745" w:rsidRPr="009E6745" w:rsidRDefault="009E6745" w:rsidP="009E6745">
            <w:pPr>
              <w:jc w:val="center"/>
              <w:rPr>
                <w:rFonts w:ascii="Calibri" w:hAnsi="Calibri" w:cs="Arial"/>
                <w:b/>
                <w:bCs/>
                <w:color w:val="000000"/>
                <w:sz w:val="36"/>
                <w:szCs w:val="36"/>
              </w:rPr>
            </w:pPr>
            <w:r w:rsidRPr="009E6745">
              <w:rPr>
                <w:rFonts w:ascii="Calibri" w:hAnsi="Calibri" w:cs="Arial"/>
                <w:b/>
                <w:bCs/>
                <w:color w:val="000000"/>
                <w:sz w:val="36"/>
                <w:szCs w:val="36"/>
              </w:rPr>
              <w:lastRenderedPageBreak/>
              <w:t>Finance &amp; Budget Committee Meeting</w:t>
            </w:r>
          </w:p>
        </w:tc>
      </w:tr>
      <w:tr w:rsidR="009E6745" w:rsidRPr="009E6745" w:rsidTr="009E6745">
        <w:trPr>
          <w:trHeight w:val="465"/>
        </w:trPr>
        <w:tc>
          <w:tcPr>
            <w:tcW w:w="0" w:type="auto"/>
            <w:gridSpan w:val="8"/>
            <w:tcBorders>
              <w:top w:val="nil"/>
              <w:left w:val="nil"/>
              <w:bottom w:val="nil"/>
              <w:right w:val="nil"/>
            </w:tcBorders>
            <w:shd w:val="clear" w:color="auto" w:fill="auto"/>
            <w:noWrap/>
            <w:vAlign w:val="center"/>
            <w:hideMark/>
          </w:tcPr>
          <w:p w:rsidR="009E6745" w:rsidRPr="009E6745" w:rsidRDefault="009E6745" w:rsidP="009E6745">
            <w:pPr>
              <w:jc w:val="center"/>
              <w:rPr>
                <w:rFonts w:ascii="Calibri" w:hAnsi="Calibri" w:cs="Arial"/>
                <w:b/>
                <w:bCs/>
                <w:color w:val="000000"/>
                <w:sz w:val="36"/>
                <w:szCs w:val="36"/>
              </w:rPr>
            </w:pPr>
            <w:r w:rsidRPr="009E6745">
              <w:rPr>
                <w:rFonts w:ascii="Calibri" w:hAnsi="Calibri" w:cs="Arial"/>
                <w:b/>
                <w:bCs/>
                <w:color w:val="000000"/>
                <w:sz w:val="36"/>
                <w:szCs w:val="36"/>
              </w:rPr>
              <w:t xml:space="preserve">   Fiscal Highlights</w:t>
            </w:r>
          </w:p>
        </w:tc>
      </w:tr>
      <w:tr w:rsidR="009E6745" w:rsidRPr="009E6745" w:rsidTr="009E6745">
        <w:trPr>
          <w:trHeight w:val="465"/>
        </w:trPr>
        <w:tc>
          <w:tcPr>
            <w:tcW w:w="0" w:type="auto"/>
            <w:gridSpan w:val="8"/>
            <w:tcBorders>
              <w:top w:val="nil"/>
              <w:left w:val="nil"/>
              <w:bottom w:val="nil"/>
              <w:right w:val="nil"/>
            </w:tcBorders>
            <w:shd w:val="clear" w:color="auto" w:fill="auto"/>
            <w:noWrap/>
            <w:vAlign w:val="center"/>
            <w:hideMark/>
          </w:tcPr>
          <w:p w:rsidR="009E6745" w:rsidRPr="009E6745" w:rsidRDefault="009E6745" w:rsidP="009E6745">
            <w:pPr>
              <w:jc w:val="center"/>
              <w:rPr>
                <w:rFonts w:ascii="Calibri" w:hAnsi="Calibri" w:cs="Arial"/>
                <w:b/>
                <w:bCs/>
                <w:color w:val="000000"/>
                <w:sz w:val="36"/>
                <w:szCs w:val="36"/>
              </w:rPr>
            </w:pPr>
            <w:r w:rsidRPr="009E6745">
              <w:rPr>
                <w:rFonts w:ascii="Calibri" w:hAnsi="Calibri" w:cs="Arial"/>
                <w:b/>
                <w:bCs/>
                <w:color w:val="000000"/>
                <w:sz w:val="36"/>
                <w:szCs w:val="36"/>
              </w:rPr>
              <w:t>Tuesday, June 05, 2018</w:t>
            </w:r>
          </w:p>
        </w:tc>
      </w:tr>
      <w:tr w:rsidR="009E6745" w:rsidRPr="009E6745" w:rsidTr="009E6745">
        <w:trPr>
          <w:trHeight w:val="435"/>
        </w:trPr>
        <w:tc>
          <w:tcPr>
            <w:tcW w:w="0" w:type="auto"/>
            <w:gridSpan w:val="8"/>
            <w:tcBorders>
              <w:top w:val="nil"/>
              <w:left w:val="nil"/>
              <w:bottom w:val="nil"/>
              <w:right w:val="nil"/>
            </w:tcBorders>
            <w:shd w:val="clear" w:color="auto" w:fill="auto"/>
            <w:vAlign w:val="bottom"/>
            <w:hideMark/>
          </w:tcPr>
          <w:p w:rsidR="009E6745" w:rsidRPr="009E6745" w:rsidRDefault="009E6745" w:rsidP="009E6745">
            <w:pPr>
              <w:jc w:val="center"/>
              <w:rPr>
                <w:rFonts w:ascii="Wide Latin" w:hAnsi="Wide Latin" w:cs="Arial"/>
                <w:color w:val="000000"/>
              </w:rPr>
            </w:pPr>
            <w:bookmarkStart w:id="1" w:name="RANGE!A4:H100"/>
            <w:r w:rsidRPr="009E6745">
              <w:rPr>
                <w:rFonts w:ascii="Wide Latin" w:hAnsi="Wide Latin" w:cs="Arial"/>
                <w:color w:val="000000"/>
              </w:rPr>
              <w:t>Statement of Financial Position</w:t>
            </w:r>
            <w:bookmarkEnd w:id="1"/>
          </w:p>
        </w:tc>
      </w:tr>
      <w:tr w:rsidR="009E6745" w:rsidRPr="009E6745" w:rsidTr="009E6745">
        <w:trPr>
          <w:trHeight w:val="1020"/>
        </w:trPr>
        <w:tc>
          <w:tcPr>
            <w:tcW w:w="0" w:type="auto"/>
            <w:gridSpan w:val="8"/>
            <w:tcBorders>
              <w:top w:val="nil"/>
              <w:left w:val="nil"/>
              <w:bottom w:val="nil"/>
              <w:right w:val="nil"/>
            </w:tcBorders>
            <w:shd w:val="clear" w:color="auto" w:fill="auto"/>
            <w:hideMark/>
          </w:tcPr>
          <w:p w:rsidR="009E6745" w:rsidRPr="009E6745" w:rsidRDefault="009E6745" w:rsidP="009E6745">
            <w:pPr>
              <w:rPr>
                <w:rFonts w:ascii="Wingdings" w:hAnsi="Wingdings" w:cs="Arial"/>
                <w:color w:val="000000"/>
              </w:rPr>
            </w:pPr>
            <w:r w:rsidRPr="009E6745">
              <w:rPr>
                <w:rFonts w:ascii="Wingdings" w:hAnsi="Wingdings" w:cs="Arial"/>
                <w:color w:val="000000"/>
              </w:rPr>
              <w:t></w:t>
            </w:r>
            <w:r w:rsidRPr="009E6745">
              <w:rPr>
                <w:b/>
                <w:bCs/>
                <w:color w:val="000000"/>
              </w:rPr>
              <w:t xml:space="preserve"> Cash</w:t>
            </w:r>
            <w:r w:rsidRPr="009E6745">
              <w:rPr>
                <w:rFonts w:ascii="Calibri" w:hAnsi="Calibri" w:cs="Arial"/>
                <w:color w:val="000000"/>
              </w:rPr>
              <w:t xml:space="preserve"> -  Cash balance in the operating checking account started the year off with $283K and ended with $180K at April 30, 2018. Low balance on May 11th was $153K &amp; the high balance on March 2nd was $367K. Average daily balance for the 2017 &amp; 2018 years were $323K and $264K, respectively.</w:t>
            </w:r>
          </w:p>
        </w:tc>
      </w:tr>
      <w:tr w:rsidR="009E6745" w:rsidRPr="009E6745" w:rsidTr="009E6745">
        <w:trPr>
          <w:trHeight w:val="1620"/>
        </w:trPr>
        <w:tc>
          <w:tcPr>
            <w:tcW w:w="0" w:type="auto"/>
            <w:tcBorders>
              <w:top w:val="nil"/>
              <w:left w:val="nil"/>
              <w:bottom w:val="nil"/>
              <w:right w:val="nil"/>
            </w:tcBorders>
            <w:shd w:val="clear" w:color="auto" w:fill="auto"/>
            <w:hideMark/>
          </w:tcPr>
          <w:p w:rsidR="009E6745" w:rsidRPr="009E6745" w:rsidRDefault="009E6745" w:rsidP="009E6745">
            <w:pPr>
              <w:rPr>
                <w:rFonts w:ascii="Wingdings" w:hAnsi="Wingdings" w:cs="Arial"/>
                <w:color w:val="00000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r w:rsidRPr="009E6745">
              <w:rPr>
                <w:rFonts w:ascii="Wingdings" w:hAnsi="Wingdings" w:cs="Arial"/>
                <w:noProof/>
                <w:color w:val="000000"/>
              </w:rPr>
              <w:drawing>
                <wp:anchor distT="0" distB="0" distL="114300" distR="114300" simplePos="0" relativeHeight="251659264" behindDoc="0" locked="0" layoutInCell="1" allowOverlap="1">
                  <wp:simplePos x="0" y="0"/>
                  <wp:positionH relativeFrom="column">
                    <wp:posOffset>-2063115</wp:posOffset>
                  </wp:positionH>
                  <wp:positionV relativeFrom="paragraph">
                    <wp:posOffset>24130</wp:posOffset>
                  </wp:positionV>
                  <wp:extent cx="6457950" cy="2562225"/>
                  <wp:effectExtent l="0" t="0" r="0" b="9525"/>
                  <wp:wrapNone/>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r>
      <w:tr w:rsidR="009E6745" w:rsidRPr="009E6745" w:rsidTr="009E6745">
        <w:trPr>
          <w:trHeight w:val="1620"/>
        </w:trPr>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r>
      <w:tr w:rsidR="009E6745" w:rsidRPr="009E6745" w:rsidTr="009E6745">
        <w:trPr>
          <w:trHeight w:val="1026"/>
        </w:trPr>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r>
      <w:tr w:rsidR="009E6745" w:rsidRPr="009E6745" w:rsidTr="009E6745">
        <w:trPr>
          <w:trHeight w:val="765"/>
        </w:trPr>
        <w:tc>
          <w:tcPr>
            <w:tcW w:w="0" w:type="auto"/>
            <w:gridSpan w:val="8"/>
            <w:tcBorders>
              <w:top w:val="nil"/>
              <w:left w:val="nil"/>
              <w:bottom w:val="nil"/>
              <w:right w:val="nil"/>
            </w:tcBorders>
            <w:shd w:val="clear" w:color="auto" w:fill="auto"/>
            <w:hideMark/>
          </w:tcPr>
          <w:p w:rsidR="009E6745" w:rsidRPr="009E6745" w:rsidRDefault="009E6745" w:rsidP="009E6745">
            <w:pPr>
              <w:rPr>
                <w:rFonts w:ascii="Wingdings" w:hAnsi="Wingdings" w:cs="Arial"/>
                <w:color w:val="000000"/>
              </w:rPr>
            </w:pPr>
            <w:r w:rsidRPr="009E6745">
              <w:rPr>
                <w:rFonts w:ascii="Wingdings" w:hAnsi="Wingdings" w:cs="Arial"/>
                <w:color w:val="000000"/>
              </w:rPr>
              <w:t></w:t>
            </w:r>
            <w:r w:rsidRPr="009E6745">
              <w:rPr>
                <w:color w:val="000000"/>
              </w:rPr>
              <w:t xml:space="preserve"> </w:t>
            </w:r>
            <w:r w:rsidRPr="009E6745">
              <w:rPr>
                <w:rFonts w:ascii="Calibri" w:hAnsi="Calibri" w:cs="Arial"/>
                <w:b/>
                <w:bCs/>
                <w:color w:val="000000"/>
              </w:rPr>
              <w:t xml:space="preserve">Grant Receivable - </w:t>
            </w:r>
            <w:r w:rsidRPr="009E6745">
              <w:rPr>
                <w:rFonts w:ascii="Calibri" w:hAnsi="Calibri" w:cs="Arial"/>
                <w:color w:val="000000"/>
              </w:rPr>
              <w:t xml:space="preserve">  As of April 30, 2018 our Grant Receivable is $309K. Expectation is that we will collect on all receivables.  The average collection period for 2017 was 70 days. Summary of Grants Receivable at April 30, 2018 is as follows:</w:t>
            </w:r>
          </w:p>
        </w:tc>
      </w:tr>
      <w:tr w:rsidR="009E6745" w:rsidRPr="009E6745" w:rsidTr="009E6745">
        <w:trPr>
          <w:trHeight w:val="315"/>
        </w:trPr>
        <w:tc>
          <w:tcPr>
            <w:tcW w:w="0" w:type="auto"/>
            <w:tcBorders>
              <w:top w:val="nil"/>
              <w:left w:val="nil"/>
              <w:bottom w:val="nil"/>
              <w:right w:val="nil"/>
            </w:tcBorders>
            <w:shd w:val="clear" w:color="auto" w:fill="auto"/>
            <w:vAlign w:val="bottom"/>
            <w:hideMark/>
          </w:tcPr>
          <w:p w:rsidR="009E6745" w:rsidRPr="009E6745" w:rsidRDefault="009E6745" w:rsidP="009E6745">
            <w:pPr>
              <w:rPr>
                <w:rFonts w:ascii="Wingdings" w:hAnsi="Wingdings" w:cs="Arial"/>
                <w:color w:val="000000"/>
              </w:rPr>
            </w:pPr>
          </w:p>
        </w:tc>
        <w:tc>
          <w:tcPr>
            <w:tcW w:w="0" w:type="auto"/>
            <w:gridSpan w:val="2"/>
            <w:tcBorders>
              <w:top w:val="nil"/>
              <w:left w:val="nil"/>
              <w:bottom w:val="nil"/>
              <w:right w:val="nil"/>
            </w:tcBorders>
            <w:shd w:val="clear" w:color="auto" w:fill="auto"/>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color w:val="000000"/>
              </w:rPr>
            </w:pPr>
            <w:r w:rsidRPr="009E6745">
              <w:rPr>
                <w:color w:val="000000"/>
              </w:rPr>
              <w:t>Amount $</w:t>
            </w: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color w:val="000000"/>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right"/>
              <w:rPr>
                <w:sz w:val="20"/>
                <w:szCs w:val="20"/>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right"/>
              <w:rPr>
                <w:sz w:val="20"/>
                <w:szCs w:val="20"/>
              </w:rPr>
            </w:pPr>
          </w:p>
        </w:tc>
      </w:tr>
      <w:tr w:rsidR="009E6745" w:rsidRPr="009E6745" w:rsidTr="009E6745">
        <w:trPr>
          <w:trHeight w:val="315"/>
        </w:trPr>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hideMark/>
          </w:tcPr>
          <w:p w:rsidR="009E6745" w:rsidRPr="009E6745" w:rsidRDefault="009E6745" w:rsidP="009E6745">
            <w:pPr>
              <w:jc w:val="center"/>
              <w:rPr>
                <w:color w:val="000000"/>
              </w:rPr>
            </w:pPr>
            <w:r w:rsidRPr="009E6745">
              <w:rPr>
                <w:color w:val="000000"/>
              </w:rPr>
              <w:t>Rural Health Network Program</w:t>
            </w: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 xml:space="preserve">84,559 </w:t>
            </w:r>
          </w:p>
        </w:tc>
        <w:tc>
          <w:tcPr>
            <w:tcW w:w="0" w:type="auto"/>
            <w:tcBorders>
              <w:top w:val="nil"/>
              <w:left w:val="nil"/>
              <w:bottom w:val="nil"/>
              <w:right w:val="nil"/>
            </w:tcBorders>
            <w:shd w:val="clear" w:color="auto" w:fill="auto"/>
            <w:vAlign w:val="bottom"/>
            <w:hideMark/>
          </w:tcPr>
          <w:p w:rsidR="009E6745" w:rsidRPr="009E6745" w:rsidRDefault="009E6745" w:rsidP="009E6745">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r>
      <w:tr w:rsidR="009E6745" w:rsidRPr="009E6745" w:rsidTr="009E6745">
        <w:trPr>
          <w:trHeight w:val="315"/>
        </w:trPr>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hideMark/>
          </w:tcPr>
          <w:p w:rsidR="009E6745" w:rsidRPr="009E6745" w:rsidRDefault="009E6745" w:rsidP="009E6745">
            <w:pPr>
              <w:jc w:val="center"/>
              <w:rPr>
                <w:color w:val="000000"/>
              </w:rPr>
            </w:pPr>
            <w:r w:rsidRPr="009E6745">
              <w:rPr>
                <w:color w:val="000000"/>
              </w:rPr>
              <w:t>Navigator Health Program</w:t>
            </w: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 xml:space="preserve">76,290 </w:t>
            </w:r>
          </w:p>
        </w:tc>
        <w:tc>
          <w:tcPr>
            <w:tcW w:w="0" w:type="auto"/>
            <w:tcBorders>
              <w:top w:val="nil"/>
              <w:left w:val="nil"/>
              <w:bottom w:val="nil"/>
              <w:right w:val="nil"/>
            </w:tcBorders>
            <w:shd w:val="clear" w:color="auto" w:fill="auto"/>
            <w:vAlign w:val="bottom"/>
            <w:hideMark/>
          </w:tcPr>
          <w:p w:rsidR="009E6745" w:rsidRPr="009E6745" w:rsidRDefault="009E6745" w:rsidP="009E6745">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r>
      <w:tr w:rsidR="009E6745" w:rsidRPr="009E6745" w:rsidTr="009E6745">
        <w:trPr>
          <w:trHeight w:val="315"/>
        </w:trPr>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hideMark/>
          </w:tcPr>
          <w:p w:rsidR="009E6745" w:rsidRPr="009E6745" w:rsidRDefault="009E6745" w:rsidP="009E6745">
            <w:pPr>
              <w:jc w:val="center"/>
              <w:rPr>
                <w:color w:val="000000"/>
              </w:rPr>
            </w:pPr>
            <w:r w:rsidRPr="009E6745">
              <w:rPr>
                <w:color w:val="000000"/>
              </w:rPr>
              <w:t>Tobacco-Free Program</w:t>
            </w: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 xml:space="preserve">52,325 </w:t>
            </w:r>
          </w:p>
        </w:tc>
        <w:tc>
          <w:tcPr>
            <w:tcW w:w="0" w:type="auto"/>
            <w:tcBorders>
              <w:top w:val="nil"/>
              <w:left w:val="nil"/>
              <w:bottom w:val="nil"/>
              <w:right w:val="nil"/>
            </w:tcBorders>
            <w:shd w:val="clear" w:color="auto" w:fill="auto"/>
            <w:vAlign w:val="bottom"/>
            <w:hideMark/>
          </w:tcPr>
          <w:p w:rsidR="009E6745" w:rsidRPr="009E6745" w:rsidRDefault="009E6745" w:rsidP="009E6745">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r>
      <w:tr w:rsidR="009E6745" w:rsidRPr="009E6745" w:rsidTr="009E6745">
        <w:trPr>
          <w:trHeight w:val="315"/>
        </w:trPr>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hideMark/>
          </w:tcPr>
          <w:p w:rsidR="009E6745" w:rsidRPr="009E6745" w:rsidRDefault="009E6745" w:rsidP="009E6745">
            <w:pPr>
              <w:jc w:val="center"/>
              <w:rPr>
                <w:color w:val="000000"/>
              </w:rPr>
            </w:pPr>
            <w:r w:rsidRPr="009E6745">
              <w:rPr>
                <w:color w:val="000000"/>
              </w:rPr>
              <w:t>Cancer Services Program</w:t>
            </w: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 xml:space="preserve">17,913 </w:t>
            </w:r>
          </w:p>
        </w:tc>
        <w:tc>
          <w:tcPr>
            <w:tcW w:w="0" w:type="auto"/>
            <w:tcBorders>
              <w:top w:val="nil"/>
              <w:left w:val="nil"/>
              <w:bottom w:val="nil"/>
              <w:right w:val="nil"/>
            </w:tcBorders>
            <w:shd w:val="clear" w:color="auto" w:fill="auto"/>
            <w:vAlign w:val="bottom"/>
            <w:hideMark/>
          </w:tcPr>
          <w:p w:rsidR="009E6745" w:rsidRPr="009E6745" w:rsidRDefault="009E6745" w:rsidP="009E6745">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r>
      <w:tr w:rsidR="009E6745" w:rsidRPr="009E6745" w:rsidTr="009E6745">
        <w:trPr>
          <w:trHeight w:val="315"/>
        </w:trPr>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hideMark/>
          </w:tcPr>
          <w:p w:rsidR="009E6745" w:rsidRPr="009E6745" w:rsidRDefault="009E6745" w:rsidP="009E6745">
            <w:pPr>
              <w:jc w:val="center"/>
              <w:rPr>
                <w:color w:val="000000"/>
              </w:rPr>
            </w:pPr>
            <w:r w:rsidRPr="009E6745">
              <w:rPr>
                <w:color w:val="000000"/>
              </w:rPr>
              <w:t>Transportation-Medicaid</w:t>
            </w: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 xml:space="preserve">16,978 </w:t>
            </w:r>
          </w:p>
        </w:tc>
        <w:tc>
          <w:tcPr>
            <w:tcW w:w="0" w:type="auto"/>
            <w:tcBorders>
              <w:top w:val="nil"/>
              <w:left w:val="nil"/>
              <w:bottom w:val="nil"/>
              <w:right w:val="nil"/>
            </w:tcBorders>
            <w:shd w:val="clear" w:color="auto" w:fill="auto"/>
            <w:vAlign w:val="bottom"/>
            <w:hideMark/>
          </w:tcPr>
          <w:p w:rsidR="009E6745" w:rsidRPr="009E6745" w:rsidRDefault="009E6745" w:rsidP="009E6745">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r>
      <w:tr w:rsidR="009E6745" w:rsidRPr="009E6745" w:rsidTr="009E6745">
        <w:trPr>
          <w:trHeight w:val="315"/>
        </w:trPr>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hideMark/>
          </w:tcPr>
          <w:p w:rsidR="009E6745" w:rsidRPr="009E6745" w:rsidRDefault="009E6745" w:rsidP="009E6745">
            <w:pPr>
              <w:jc w:val="center"/>
              <w:rPr>
                <w:color w:val="000000"/>
              </w:rPr>
            </w:pPr>
            <w:r w:rsidRPr="009E6745">
              <w:rPr>
                <w:color w:val="000000"/>
              </w:rPr>
              <w:t>Other Columbia Co</w:t>
            </w:r>
            <w:r>
              <w:rPr>
                <w:color w:val="000000"/>
              </w:rPr>
              <w:t xml:space="preserve">. </w:t>
            </w:r>
            <w:r w:rsidRPr="009E6745">
              <w:rPr>
                <w:color w:val="000000"/>
              </w:rPr>
              <w:t>Programs</w:t>
            </w: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 xml:space="preserve">57,890 </w:t>
            </w:r>
          </w:p>
        </w:tc>
        <w:tc>
          <w:tcPr>
            <w:tcW w:w="0" w:type="auto"/>
            <w:tcBorders>
              <w:top w:val="nil"/>
              <w:left w:val="nil"/>
              <w:bottom w:val="nil"/>
              <w:right w:val="nil"/>
            </w:tcBorders>
            <w:shd w:val="clear" w:color="auto" w:fill="auto"/>
            <w:vAlign w:val="bottom"/>
            <w:hideMark/>
          </w:tcPr>
          <w:p w:rsidR="009E6745" w:rsidRPr="009E6745" w:rsidRDefault="009E6745" w:rsidP="009E6745">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r>
      <w:tr w:rsidR="009E6745" w:rsidRPr="009E6745" w:rsidTr="009E6745">
        <w:trPr>
          <w:trHeight w:val="315"/>
        </w:trPr>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hideMark/>
          </w:tcPr>
          <w:p w:rsidR="009E6745" w:rsidRPr="009E6745" w:rsidRDefault="009E6745" w:rsidP="009E6745">
            <w:pPr>
              <w:jc w:val="center"/>
              <w:rPr>
                <w:color w:val="000000"/>
              </w:rPr>
            </w:pPr>
            <w:r w:rsidRPr="009E6745">
              <w:rPr>
                <w:color w:val="000000"/>
              </w:rPr>
              <w:t>Greene County DSS</w:t>
            </w:r>
          </w:p>
        </w:tc>
        <w:tc>
          <w:tcPr>
            <w:tcW w:w="0" w:type="auto"/>
            <w:tcBorders>
              <w:top w:val="nil"/>
              <w:left w:val="nil"/>
              <w:bottom w:val="nil"/>
              <w:right w:val="nil"/>
            </w:tcBorders>
            <w:shd w:val="clear" w:color="auto" w:fill="auto"/>
            <w:noWrap/>
            <w:vAlign w:val="bottom"/>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 xml:space="preserve">3,146 </w:t>
            </w:r>
          </w:p>
        </w:tc>
        <w:tc>
          <w:tcPr>
            <w:tcW w:w="0" w:type="auto"/>
            <w:tcBorders>
              <w:top w:val="nil"/>
              <w:left w:val="nil"/>
              <w:bottom w:val="nil"/>
              <w:right w:val="nil"/>
            </w:tcBorders>
            <w:shd w:val="clear" w:color="auto" w:fill="auto"/>
            <w:vAlign w:val="bottom"/>
            <w:hideMark/>
          </w:tcPr>
          <w:p w:rsidR="009E6745" w:rsidRPr="009E6745" w:rsidRDefault="009E6745" w:rsidP="009E6745">
            <w:pPr>
              <w:jc w:val="right"/>
              <w:rPr>
                <w:rFonts w:ascii="Arial" w:hAnsi="Arial" w:cs="Arial"/>
                <w:color w:val="000000"/>
                <w:sz w:val="22"/>
                <w:szCs w:val="22"/>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r>
      <w:tr w:rsidR="009E6745" w:rsidRPr="009E6745" w:rsidTr="009E6745">
        <w:trPr>
          <w:trHeight w:val="330"/>
        </w:trPr>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hideMark/>
          </w:tcPr>
          <w:p w:rsidR="009E6745" w:rsidRPr="009E6745" w:rsidRDefault="009E6745" w:rsidP="009E6745">
            <w:pPr>
              <w:jc w:val="center"/>
              <w:rPr>
                <w:color w:val="000000"/>
              </w:rPr>
            </w:pPr>
            <w:r w:rsidRPr="009E6745">
              <w:rPr>
                <w:color w:val="000000"/>
              </w:rPr>
              <w:t>Total Grant Receivable</w:t>
            </w: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color w:val="000000"/>
              </w:rPr>
            </w:pPr>
          </w:p>
        </w:tc>
        <w:tc>
          <w:tcPr>
            <w:tcW w:w="0" w:type="auto"/>
            <w:tcBorders>
              <w:top w:val="single" w:sz="4" w:space="0" w:color="auto"/>
              <w:left w:val="nil"/>
              <w:bottom w:val="double" w:sz="6" w:space="0" w:color="auto"/>
              <w:right w:val="nil"/>
            </w:tcBorders>
            <w:shd w:val="clear" w:color="auto" w:fill="auto"/>
            <w:vAlign w:val="bottom"/>
            <w:hideMark/>
          </w:tcPr>
          <w:p w:rsidR="009E6745" w:rsidRPr="009E6745" w:rsidRDefault="009E6745" w:rsidP="009E6745">
            <w:pPr>
              <w:jc w:val="right"/>
              <w:rPr>
                <w:color w:val="000000"/>
              </w:rPr>
            </w:pPr>
            <w:r w:rsidRPr="009E6745">
              <w:rPr>
                <w:color w:val="000000"/>
              </w:rPr>
              <w:t xml:space="preserve">$309,102 </w:t>
            </w:r>
          </w:p>
        </w:tc>
        <w:tc>
          <w:tcPr>
            <w:tcW w:w="0" w:type="auto"/>
            <w:tcBorders>
              <w:top w:val="nil"/>
              <w:left w:val="nil"/>
              <w:bottom w:val="nil"/>
              <w:right w:val="nil"/>
            </w:tcBorders>
            <w:shd w:val="clear" w:color="auto" w:fill="auto"/>
            <w:vAlign w:val="bottom"/>
            <w:hideMark/>
          </w:tcPr>
          <w:p w:rsidR="009E6745" w:rsidRPr="009E6745" w:rsidRDefault="009E6745" w:rsidP="009E6745">
            <w:pPr>
              <w:jc w:val="right"/>
              <w:rPr>
                <w:color w:val="000000"/>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bottom"/>
            <w:hideMark/>
          </w:tcPr>
          <w:p w:rsidR="009E6745" w:rsidRPr="009E6745" w:rsidRDefault="009E6745" w:rsidP="009E6745">
            <w:pPr>
              <w:jc w:val="center"/>
              <w:rPr>
                <w:sz w:val="20"/>
                <w:szCs w:val="20"/>
              </w:rPr>
            </w:pPr>
          </w:p>
        </w:tc>
      </w:tr>
      <w:tr w:rsidR="009E6745" w:rsidRPr="009E6745" w:rsidTr="009E6745">
        <w:trPr>
          <w:trHeight w:val="765"/>
        </w:trPr>
        <w:tc>
          <w:tcPr>
            <w:tcW w:w="0" w:type="auto"/>
            <w:tcBorders>
              <w:top w:val="nil"/>
              <w:left w:val="nil"/>
              <w:bottom w:val="nil"/>
              <w:right w:val="nil"/>
            </w:tcBorders>
            <w:shd w:val="clear" w:color="auto" w:fill="auto"/>
            <w:hideMark/>
          </w:tcPr>
          <w:p w:rsidR="009E6745" w:rsidRPr="009E6745" w:rsidRDefault="009E6745" w:rsidP="009E6745">
            <w:pPr>
              <w:jc w:val="center"/>
              <w:rPr>
                <w:sz w:val="20"/>
                <w:szCs w:val="20"/>
              </w:rPr>
            </w:pPr>
          </w:p>
        </w:tc>
        <w:tc>
          <w:tcPr>
            <w:tcW w:w="0" w:type="auto"/>
            <w:gridSpan w:val="7"/>
            <w:vMerge w:val="restart"/>
            <w:tcBorders>
              <w:top w:val="nil"/>
              <w:left w:val="nil"/>
              <w:bottom w:val="nil"/>
              <w:right w:val="nil"/>
            </w:tcBorders>
            <w:shd w:val="clear" w:color="auto" w:fill="auto"/>
            <w:hideMark/>
          </w:tcPr>
          <w:p w:rsidR="009E6745" w:rsidRPr="009E6745" w:rsidRDefault="009E6745" w:rsidP="009E6745">
            <w:pPr>
              <w:rPr>
                <w:rFonts w:ascii="Wingdings" w:hAnsi="Wingdings" w:cs="Arial"/>
                <w:color w:val="000000"/>
              </w:rPr>
            </w:pPr>
          </w:p>
        </w:tc>
      </w:tr>
      <w:tr w:rsidR="009E6745" w:rsidRPr="009E6745" w:rsidTr="009E6745">
        <w:trPr>
          <w:trHeight w:val="1770"/>
        </w:trPr>
        <w:tc>
          <w:tcPr>
            <w:tcW w:w="0" w:type="auto"/>
            <w:tcBorders>
              <w:top w:val="nil"/>
              <w:left w:val="nil"/>
              <w:bottom w:val="nil"/>
              <w:right w:val="nil"/>
            </w:tcBorders>
            <w:shd w:val="clear" w:color="auto" w:fill="auto"/>
            <w:hideMark/>
          </w:tcPr>
          <w:p w:rsidR="009E6745" w:rsidRPr="009E6745" w:rsidRDefault="009E6745" w:rsidP="009E6745">
            <w:pPr>
              <w:rPr>
                <w:rFonts w:ascii="Wingdings" w:hAnsi="Wingdings" w:cs="Arial"/>
                <w:color w:val="000000"/>
              </w:rPr>
            </w:pPr>
          </w:p>
        </w:tc>
        <w:tc>
          <w:tcPr>
            <w:tcW w:w="0" w:type="auto"/>
            <w:gridSpan w:val="7"/>
            <w:vMerge/>
            <w:tcBorders>
              <w:top w:val="nil"/>
              <w:left w:val="nil"/>
              <w:bottom w:val="nil"/>
              <w:right w:val="nil"/>
            </w:tcBorders>
            <w:vAlign w:val="center"/>
            <w:hideMark/>
          </w:tcPr>
          <w:p w:rsidR="009E6745" w:rsidRPr="009E6745" w:rsidRDefault="009E6745" w:rsidP="009E6745">
            <w:pPr>
              <w:rPr>
                <w:rFonts w:ascii="Wingdings" w:hAnsi="Wingdings" w:cs="Arial"/>
                <w:color w:val="000000"/>
              </w:rPr>
            </w:pPr>
          </w:p>
        </w:tc>
      </w:tr>
      <w:tr w:rsidR="009E6745" w:rsidRPr="009E6745" w:rsidTr="009E6745">
        <w:trPr>
          <w:trHeight w:val="1770"/>
        </w:trPr>
        <w:tc>
          <w:tcPr>
            <w:tcW w:w="0" w:type="auto"/>
            <w:tcBorders>
              <w:top w:val="nil"/>
              <w:left w:val="nil"/>
              <w:bottom w:val="nil"/>
              <w:right w:val="nil"/>
            </w:tcBorders>
            <w:shd w:val="clear" w:color="auto" w:fill="auto"/>
            <w:hideMark/>
          </w:tcPr>
          <w:p w:rsidR="009E6745" w:rsidRPr="009E6745" w:rsidRDefault="009E6745" w:rsidP="009E6745">
            <w:pPr>
              <w:rPr>
                <w:sz w:val="20"/>
                <w:szCs w:val="20"/>
              </w:rPr>
            </w:pPr>
            <w:r w:rsidRPr="009E6745">
              <w:rPr>
                <w:rFonts w:ascii="Wingdings" w:hAnsi="Wingdings" w:cs="Arial"/>
                <w:noProof/>
                <w:color w:val="000000"/>
              </w:rPr>
              <w:lastRenderedPageBreak/>
              <w:drawing>
                <wp:anchor distT="0" distB="0" distL="114300" distR="114300" simplePos="0" relativeHeight="251660288" behindDoc="0" locked="0" layoutInCell="1" allowOverlap="1">
                  <wp:simplePos x="0" y="0"/>
                  <wp:positionH relativeFrom="column">
                    <wp:posOffset>93345</wp:posOffset>
                  </wp:positionH>
                  <wp:positionV relativeFrom="paragraph">
                    <wp:posOffset>-108585</wp:posOffset>
                  </wp:positionV>
                  <wp:extent cx="6343650" cy="2152650"/>
                  <wp:effectExtent l="0" t="0" r="0" b="0"/>
                  <wp:wrapNone/>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c>
        <w:tc>
          <w:tcPr>
            <w:tcW w:w="0" w:type="auto"/>
            <w:gridSpan w:val="7"/>
            <w:vMerge/>
            <w:tcBorders>
              <w:top w:val="nil"/>
              <w:left w:val="nil"/>
              <w:bottom w:val="nil"/>
              <w:right w:val="nil"/>
            </w:tcBorders>
            <w:vAlign w:val="center"/>
            <w:hideMark/>
          </w:tcPr>
          <w:p w:rsidR="009E6745" w:rsidRPr="009E6745" w:rsidRDefault="009E6745" w:rsidP="009E6745">
            <w:pPr>
              <w:rPr>
                <w:rFonts w:ascii="Wingdings" w:hAnsi="Wingdings" w:cs="Arial"/>
                <w:color w:val="000000"/>
              </w:rPr>
            </w:pPr>
          </w:p>
        </w:tc>
      </w:tr>
      <w:tr w:rsidR="009E6745" w:rsidRPr="009E6745" w:rsidTr="009E6745">
        <w:trPr>
          <w:trHeight w:val="1770"/>
        </w:trPr>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gridSpan w:val="7"/>
            <w:vMerge/>
            <w:tcBorders>
              <w:top w:val="nil"/>
              <w:left w:val="nil"/>
              <w:bottom w:val="nil"/>
              <w:right w:val="nil"/>
            </w:tcBorders>
            <w:vAlign w:val="center"/>
            <w:hideMark/>
          </w:tcPr>
          <w:p w:rsidR="009E6745" w:rsidRPr="009E6745" w:rsidRDefault="009E6745" w:rsidP="009E6745">
            <w:pPr>
              <w:rPr>
                <w:rFonts w:ascii="Wingdings" w:hAnsi="Wingdings" w:cs="Arial"/>
                <w:color w:val="000000"/>
              </w:rPr>
            </w:pPr>
          </w:p>
        </w:tc>
      </w:tr>
      <w:tr w:rsidR="009E6745" w:rsidRPr="009E6745" w:rsidTr="009E6745">
        <w:trPr>
          <w:trHeight w:val="80"/>
        </w:trPr>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r>
      <w:tr w:rsidR="009E6745" w:rsidRPr="009E6745" w:rsidTr="009E6745">
        <w:trPr>
          <w:trHeight w:val="765"/>
        </w:trPr>
        <w:tc>
          <w:tcPr>
            <w:tcW w:w="0" w:type="auto"/>
            <w:gridSpan w:val="8"/>
            <w:tcBorders>
              <w:top w:val="nil"/>
              <w:left w:val="nil"/>
              <w:bottom w:val="nil"/>
              <w:right w:val="nil"/>
            </w:tcBorders>
            <w:shd w:val="clear" w:color="auto" w:fill="auto"/>
            <w:hideMark/>
          </w:tcPr>
          <w:p w:rsidR="009E6745" w:rsidRPr="009E6745" w:rsidRDefault="009E6745" w:rsidP="009E6745">
            <w:pPr>
              <w:rPr>
                <w:rFonts w:ascii="Wingdings" w:hAnsi="Wingdings" w:cs="Arial"/>
                <w:color w:val="000000"/>
              </w:rPr>
            </w:pPr>
            <w:r w:rsidRPr="009E6745">
              <w:rPr>
                <w:rFonts w:ascii="Wingdings" w:hAnsi="Wingdings" w:cs="Arial"/>
                <w:color w:val="000000"/>
              </w:rPr>
              <w:t></w:t>
            </w:r>
            <w:r w:rsidRPr="009E6745">
              <w:rPr>
                <w:b/>
                <w:bCs/>
                <w:color w:val="000000"/>
              </w:rPr>
              <w:t xml:space="preserve"> Investment - Infinex Financial-Securities</w:t>
            </w:r>
            <w:r w:rsidRPr="009E6745">
              <w:rPr>
                <w:rFonts w:ascii="Calibri" w:hAnsi="Calibri" w:cs="Arial"/>
                <w:color w:val="000000"/>
              </w:rPr>
              <w:t xml:space="preserve"> - As of April 30, 2018, investment account value of six mutual funds is $163,875. Initial investment during March 2016 was $152,036 or $25.3K per mutual fund</w:t>
            </w:r>
          </w:p>
        </w:tc>
      </w:tr>
      <w:tr w:rsidR="009E6745" w:rsidRPr="009E6745" w:rsidTr="009E6745">
        <w:trPr>
          <w:trHeight w:val="345"/>
        </w:trPr>
        <w:tc>
          <w:tcPr>
            <w:tcW w:w="0" w:type="auto"/>
            <w:tcBorders>
              <w:top w:val="nil"/>
              <w:left w:val="nil"/>
              <w:bottom w:val="nil"/>
              <w:right w:val="nil"/>
            </w:tcBorders>
            <w:shd w:val="clear" w:color="auto" w:fill="auto"/>
            <w:hideMark/>
          </w:tcPr>
          <w:p w:rsidR="009E6745" w:rsidRPr="009E6745" w:rsidRDefault="009E6745" w:rsidP="009E6745">
            <w:pPr>
              <w:rPr>
                <w:rFonts w:ascii="Wingdings" w:hAnsi="Wingdings" w:cs="Arial"/>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6745" w:rsidRPr="009E6745" w:rsidRDefault="009E6745" w:rsidP="009E6745">
            <w:pPr>
              <w:rPr>
                <w:rFonts w:ascii="Calibri" w:hAnsi="Calibri" w:cs="Arial"/>
                <w:b/>
                <w:bCs/>
                <w:color w:val="000000"/>
                <w:sz w:val="22"/>
                <w:szCs w:val="22"/>
              </w:rPr>
            </w:pPr>
            <w:r w:rsidRPr="009E6745">
              <w:rPr>
                <w:rFonts w:ascii="Calibri" w:hAnsi="Calibri" w:cs="Arial"/>
                <w:b/>
                <w:bCs/>
                <w:color w:val="000000"/>
                <w:sz w:val="22"/>
                <w:szCs w:val="22"/>
              </w:rPr>
              <w:t>Fund</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9E6745" w:rsidRPr="009E6745" w:rsidRDefault="009E6745" w:rsidP="009E6745">
            <w:pPr>
              <w:jc w:val="center"/>
              <w:rPr>
                <w:rFonts w:ascii="Calibri" w:hAnsi="Calibri" w:cs="Arial"/>
                <w:b/>
                <w:bCs/>
                <w:color w:val="000000"/>
                <w:sz w:val="22"/>
                <w:szCs w:val="22"/>
              </w:rPr>
            </w:pPr>
            <w:r w:rsidRPr="009E6745">
              <w:rPr>
                <w:rFonts w:ascii="Calibri" w:hAnsi="Calibri" w:cs="Arial"/>
                <w:b/>
                <w:bCs/>
                <w:color w:val="000000"/>
                <w:sz w:val="22"/>
                <w:szCs w:val="22"/>
              </w:rPr>
              <w:t>Beginning Balance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E6745" w:rsidRPr="009E6745" w:rsidRDefault="009E6745" w:rsidP="009E6745">
            <w:pPr>
              <w:jc w:val="center"/>
              <w:rPr>
                <w:rFonts w:ascii="Calibri" w:hAnsi="Calibri" w:cs="Arial"/>
                <w:b/>
                <w:bCs/>
                <w:color w:val="000000"/>
                <w:sz w:val="22"/>
                <w:szCs w:val="22"/>
              </w:rPr>
            </w:pPr>
            <w:r w:rsidRPr="009E6745">
              <w:rPr>
                <w:rFonts w:ascii="Calibri" w:hAnsi="Calibri" w:cs="Arial"/>
                <w:b/>
                <w:bCs/>
                <w:color w:val="000000"/>
                <w:sz w:val="22"/>
                <w:szCs w:val="22"/>
              </w:rPr>
              <w:t>Income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E6745" w:rsidRPr="009E6745" w:rsidRDefault="009E6745" w:rsidP="009E6745">
            <w:pPr>
              <w:jc w:val="center"/>
              <w:rPr>
                <w:rFonts w:ascii="Calibri" w:hAnsi="Calibri" w:cs="Arial"/>
                <w:b/>
                <w:bCs/>
                <w:color w:val="000000"/>
                <w:sz w:val="22"/>
                <w:szCs w:val="22"/>
              </w:rPr>
            </w:pPr>
            <w:r w:rsidRPr="009E6745">
              <w:rPr>
                <w:rFonts w:ascii="Calibri" w:hAnsi="Calibri" w:cs="Arial"/>
                <w:b/>
                <w:bCs/>
                <w:color w:val="000000"/>
                <w:sz w:val="22"/>
                <w:szCs w:val="22"/>
              </w:rPr>
              <w:t>Transfer</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9E6745" w:rsidRPr="009E6745" w:rsidRDefault="009E6745" w:rsidP="009E6745">
            <w:pPr>
              <w:jc w:val="center"/>
              <w:rPr>
                <w:rFonts w:ascii="Calibri" w:hAnsi="Calibri" w:cs="Arial"/>
                <w:b/>
                <w:bCs/>
                <w:color w:val="000000"/>
                <w:sz w:val="22"/>
                <w:szCs w:val="22"/>
              </w:rPr>
            </w:pPr>
            <w:r w:rsidRPr="009E6745">
              <w:rPr>
                <w:rFonts w:ascii="Calibri" w:hAnsi="Calibri" w:cs="Arial"/>
                <w:b/>
                <w:bCs/>
                <w:color w:val="000000"/>
                <w:sz w:val="22"/>
                <w:szCs w:val="22"/>
              </w:rPr>
              <w:t>Unrealized Gains</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9E6745" w:rsidRPr="009E6745" w:rsidRDefault="009E6745" w:rsidP="009E6745">
            <w:pPr>
              <w:jc w:val="center"/>
              <w:rPr>
                <w:rFonts w:ascii="Calibri" w:hAnsi="Calibri" w:cs="Arial"/>
                <w:b/>
                <w:bCs/>
                <w:color w:val="000000"/>
                <w:sz w:val="22"/>
                <w:szCs w:val="22"/>
              </w:rPr>
            </w:pPr>
            <w:r w:rsidRPr="009E6745">
              <w:rPr>
                <w:rFonts w:ascii="Calibri" w:hAnsi="Calibri" w:cs="Arial"/>
                <w:b/>
                <w:bCs/>
                <w:color w:val="000000"/>
                <w:sz w:val="22"/>
                <w:szCs w:val="22"/>
              </w:rPr>
              <w:t>Ending Balance</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9E6745" w:rsidRPr="009E6745" w:rsidRDefault="009E6745" w:rsidP="009E6745">
            <w:pPr>
              <w:jc w:val="center"/>
              <w:rPr>
                <w:rFonts w:ascii="Calibri" w:hAnsi="Calibri" w:cs="Arial"/>
                <w:b/>
                <w:bCs/>
                <w:color w:val="000000"/>
                <w:sz w:val="22"/>
                <w:szCs w:val="22"/>
              </w:rPr>
            </w:pPr>
            <w:r w:rsidRPr="009E6745">
              <w:rPr>
                <w:rFonts w:ascii="Calibri" w:hAnsi="Calibri" w:cs="Arial"/>
                <w:b/>
                <w:bCs/>
                <w:color w:val="000000"/>
                <w:sz w:val="22"/>
                <w:szCs w:val="22"/>
              </w:rPr>
              <w:t>Percent Total Assets</w:t>
            </w:r>
          </w:p>
        </w:tc>
      </w:tr>
      <w:tr w:rsidR="009E6745" w:rsidRPr="009E6745" w:rsidTr="009E6745">
        <w:trPr>
          <w:trHeight w:val="300"/>
        </w:trPr>
        <w:tc>
          <w:tcPr>
            <w:tcW w:w="0" w:type="auto"/>
            <w:tcBorders>
              <w:top w:val="nil"/>
              <w:left w:val="nil"/>
              <w:bottom w:val="nil"/>
              <w:right w:val="nil"/>
            </w:tcBorders>
            <w:shd w:val="clear" w:color="auto" w:fill="auto"/>
            <w:hideMark/>
          </w:tcPr>
          <w:p w:rsidR="009E6745" w:rsidRPr="009E6745" w:rsidRDefault="009E6745" w:rsidP="009E6745">
            <w:pPr>
              <w:jc w:val="center"/>
              <w:rPr>
                <w:rFonts w:ascii="Calibri" w:hAnsi="Calibri" w:cs="Arial"/>
                <w:b/>
                <w:bCs/>
                <w:color w:val="000000"/>
                <w:sz w:val="22"/>
                <w:szCs w:val="22"/>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                     (0)</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                   (20)</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                     (20)</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r>
      <w:tr w:rsidR="009E6745" w:rsidRPr="009E6745" w:rsidTr="009E6745">
        <w:trPr>
          <w:trHeight w:val="300"/>
        </w:trPr>
        <w:tc>
          <w:tcPr>
            <w:tcW w:w="0" w:type="auto"/>
            <w:tcBorders>
              <w:top w:val="nil"/>
              <w:left w:val="nil"/>
              <w:bottom w:val="nil"/>
              <w:right w:val="nil"/>
            </w:tcBorders>
            <w:shd w:val="clear" w:color="auto" w:fill="auto"/>
            <w:hideMark/>
          </w:tcPr>
          <w:p w:rsidR="009E6745" w:rsidRPr="009E6745" w:rsidRDefault="009E6745" w:rsidP="009E6745">
            <w:pPr>
              <w:rPr>
                <w:rFonts w:ascii="Arial" w:hAnsi="Arial" w:cs="Arial"/>
                <w:color w:val="000000"/>
                <w:sz w:val="22"/>
                <w:szCs w:val="22"/>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FCISX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28,579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561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12,500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(1,572)</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40,072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24%</w:t>
            </w:r>
          </w:p>
        </w:tc>
      </w:tr>
      <w:tr w:rsidR="009E6745" w:rsidRPr="009E6745" w:rsidTr="009E6745">
        <w:trPr>
          <w:trHeight w:val="300"/>
        </w:trPr>
        <w:tc>
          <w:tcPr>
            <w:tcW w:w="0" w:type="auto"/>
            <w:tcBorders>
              <w:top w:val="nil"/>
              <w:left w:val="nil"/>
              <w:bottom w:val="nil"/>
              <w:right w:val="nil"/>
            </w:tcBorders>
            <w:shd w:val="clear" w:color="auto" w:fill="auto"/>
            <w:hideMark/>
          </w:tcPr>
          <w:p w:rsidR="009E6745" w:rsidRPr="009E6745" w:rsidRDefault="009E6745" w:rsidP="009E6745">
            <w:pPr>
              <w:jc w:val="right"/>
              <w:rPr>
                <w:rFonts w:ascii="Arial" w:hAnsi="Arial" w:cs="Arial"/>
                <w:color w:val="000000"/>
                <w:sz w:val="22"/>
                <w:szCs w:val="22"/>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FRUGX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24,970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95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(10,000)</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(410)</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14,659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9%</w:t>
            </w:r>
          </w:p>
        </w:tc>
      </w:tr>
      <w:tr w:rsidR="009E6745" w:rsidRPr="009E6745" w:rsidTr="009E6745">
        <w:trPr>
          <w:trHeight w:val="300"/>
        </w:trPr>
        <w:tc>
          <w:tcPr>
            <w:tcW w:w="0" w:type="auto"/>
            <w:tcBorders>
              <w:top w:val="nil"/>
              <w:left w:val="nil"/>
              <w:bottom w:val="nil"/>
              <w:right w:val="nil"/>
            </w:tcBorders>
            <w:shd w:val="clear" w:color="auto" w:fill="auto"/>
            <w:hideMark/>
          </w:tcPr>
          <w:p w:rsidR="009E6745" w:rsidRPr="009E6745" w:rsidRDefault="009E6745" w:rsidP="009E6745">
            <w:pPr>
              <w:jc w:val="right"/>
              <w:rPr>
                <w:rFonts w:ascii="Arial" w:hAnsi="Arial" w:cs="Arial"/>
                <w:color w:val="000000"/>
                <w:sz w:val="22"/>
                <w:szCs w:val="22"/>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FRGSX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32,561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14,000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124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46,691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28%</w:t>
            </w:r>
          </w:p>
        </w:tc>
      </w:tr>
      <w:tr w:rsidR="009E6745" w:rsidRPr="009E6745" w:rsidTr="009E6745">
        <w:trPr>
          <w:trHeight w:val="300"/>
        </w:trPr>
        <w:tc>
          <w:tcPr>
            <w:tcW w:w="0" w:type="auto"/>
            <w:tcBorders>
              <w:top w:val="nil"/>
              <w:left w:val="nil"/>
              <w:bottom w:val="nil"/>
              <w:right w:val="nil"/>
            </w:tcBorders>
            <w:shd w:val="clear" w:color="auto" w:fill="auto"/>
            <w:hideMark/>
          </w:tcPr>
          <w:p w:rsidR="009E6745" w:rsidRPr="009E6745" w:rsidRDefault="009E6745" w:rsidP="009E6745">
            <w:pPr>
              <w:jc w:val="right"/>
              <w:rPr>
                <w:rFonts w:ascii="Arial" w:hAnsi="Arial" w:cs="Arial"/>
                <w:color w:val="000000"/>
                <w:sz w:val="22"/>
                <w:szCs w:val="22"/>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FCSCX</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25,066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133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(4,000)</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(136)</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21,065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13%</w:t>
            </w:r>
          </w:p>
        </w:tc>
      </w:tr>
      <w:tr w:rsidR="009E6745" w:rsidRPr="009E6745" w:rsidTr="009E6745">
        <w:trPr>
          <w:trHeight w:val="300"/>
        </w:trPr>
        <w:tc>
          <w:tcPr>
            <w:tcW w:w="0" w:type="auto"/>
            <w:tcBorders>
              <w:top w:val="nil"/>
              <w:left w:val="nil"/>
              <w:bottom w:val="nil"/>
              <w:right w:val="nil"/>
            </w:tcBorders>
            <w:shd w:val="clear" w:color="auto" w:fill="auto"/>
            <w:hideMark/>
          </w:tcPr>
          <w:p w:rsidR="009E6745" w:rsidRPr="009E6745" w:rsidRDefault="009E6745" w:rsidP="009E6745">
            <w:pPr>
              <w:jc w:val="right"/>
              <w:rPr>
                <w:rFonts w:ascii="Arial" w:hAnsi="Arial" w:cs="Arial"/>
                <w:color w:val="000000"/>
                <w:sz w:val="22"/>
                <w:szCs w:val="22"/>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FSGCX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26,568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176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(5,000)</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(515)</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21,231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13%</w:t>
            </w:r>
          </w:p>
        </w:tc>
      </w:tr>
      <w:tr w:rsidR="009E6745" w:rsidRPr="009E6745" w:rsidTr="009E6745">
        <w:trPr>
          <w:trHeight w:val="300"/>
        </w:trPr>
        <w:tc>
          <w:tcPr>
            <w:tcW w:w="0" w:type="auto"/>
            <w:tcBorders>
              <w:top w:val="nil"/>
              <w:left w:val="nil"/>
              <w:bottom w:val="nil"/>
              <w:right w:val="nil"/>
            </w:tcBorders>
            <w:shd w:val="clear" w:color="auto" w:fill="auto"/>
            <w:hideMark/>
          </w:tcPr>
          <w:p w:rsidR="009E6745" w:rsidRPr="009E6745" w:rsidRDefault="009E6745" w:rsidP="009E6745">
            <w:pPr>
              <w:jc w:val="right"/>
              <w:rPr>
                <w:rFonts w:ascii="Arial" w:hAnsi="Arial" w:cs="Arial"/>
                <w:color w:val="000000"/>
                <w:sz w:val="22"/>
                <w:szCs w:val="22"/>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TEGBX</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27,193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194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(7,500)</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288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20,177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12%</w:t>
            </w:r>
          </w:p>
        </w:tc>
      </w:tr>
      <w:tr w:rsidR="009E6745" w:rsidRPr="009E6745" w:rsidTr="009E6745">
        <w:trPr>
          <w:trHeight w:val="195"/>
        </w:trPr>
        <w:tc>
          <w:tcPr>
            <w:tcW w:w="0" w:type="auto"/>
            <w:tcBorders>
              <w:top w:val="nil"/>
              <w:left w:val="nil"/>
              <w:bottom w:val="nil"/>
              <w:right w:val="nil"/>
            </w:tcBorders>
            <w:shd w:val="clear" w:color="auto" w:fill="auto"/>
            <w:hideMark/>
          </w:tcPr>
          <w:p w:rsidR="009E6745" w:rsidRPr="009E6745" w:rsidRDefault="009E6745" w:rsidP="009E6745">
            <w:pPr>
              <w:jc w:val="right"/>
              <w:rPr>
                <w:rFonts w:ascii="Arial" w:hAnsi="Arial" w:cs="Arial"/>
                <w:color w:val="000000"/>
                <w:sz w:val="22"/>
                <w:szCs w:val="22"/>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r>
      <w:tr w:rsidR="009E6745" w:rsidRPr="009E6745" w:rsidTr="009E6745">
        <w:trPr>
          <w:trHeight w:val="300"/>
        </w:trPr>
        <w:tc>
          <w:tcPr>
            <w:tcW w:w="0" w:type="auto"/>
            <w:tcBorders>
              <w:top w:val="nil"/>
              <w:left w:val="nil"/>
              <w:bottom w:val="nil"/>
              <w:right w:val="nil"/>
            </w:tcBorders>
            <w:shd w:val="clear" w:color="auto" w:fill="auto"/>
            <w:hideMark/>
          </w:tcPr>
          <w:p w:rsidR="009E6745" w:rsidRPr="009E6745" w:rsidRDefault="009E6745" w:rsidP="009E6745">
            <w:pPr>
              <w:rPr>
                <w:rFonts w:ascii="Arial" w:hAnsi="Arial" w:cs="Arial"/>
                <w:color w:val="000000"/>
                <w:sz w:val="22"/>
                <w:szCs w:val="22"/>
              </w:rPr>
            </w:pP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9E6745" w:rsidRPr="009E6745" w:rsidRDefault="009E6745" w:rsidP="009E6745">
            <w:pPr>
              <w:rPr>
                <w:rFonts w:ascii="Calibri" w:hAnsi="Calibri" w:cs="Arial"/>
                <w:b/>
                <w:bCs/>
                <w:color w:val="000000"/>
                <w:sz w:val="22"/>
                <w:szCs w:val="22"/>
              </w:rPr>
            </w:pPr>
            <w:r w:rsidRPr="009E6745">
              <w:rPr>
                <w:rFonts w:ascii="Calibri" w:hAnsi="Calibri" w:cs="Arial"/>
                <w:b/>
                <w:bCs/>
                <w:color w:val="000000"/>
                <w:sz w:val="22"/>
                <w:szCs w:val="22"/>
              </w:rPr>
              <w:t>Totals</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Calibri" w:hAnsi="Calibri" w:cs="Arial"/>
                <w:b/>
                <w:bCs/>
                <w:color w:val="000000"/>
                <w:sz w:val="22"/>
                <w:szCs w:val="22"/>
              </w:rPr>
            </w:pPr>
            <w:r w:rsidRPr="009E6745">
              <w:rPr>
                <w:rFonts w:ascii="Calibri" w:hAnsi="Calibri" w:cs="Arial"/>
                <w:b/>
                <w:bCs/>
                <w:color w:val="000000"/>
                <w:sz w:val="22"/>
                <w:szCs w:val="22"/>
              </w:rPr>
              <w:t xml:space="preserve"> $                  164,938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Calibri" w:hAnsi="Calibri" w:cs="Arial"/>
                <w:b/>
                <w:bCs/>
                <w:color w:val="000000"/>
                <w:sz w:val="22"/>
                <w:szCs w:val="22"/>
              </w:rPr>
            </w:pPr>
            <w:r w:rsidRPr="009E6745">
              <w:rPr>
                <w:rFonts w:ascii="Calibri" w:hAnsi="Calibri" w:cs="Arial"/>
                <w:b/>
                <w:bCs/>
                <w:color w:val="000000"/>
                <w:sz w:val="22"/>
                <w:szCs w:val="22"/>
              </w:rPr>
              <w:t xml:space="preserve"> $                       1,159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jc w:val="right"/>
              <w:rPr>
                <w:rFonts w:ascii="Calibri" w:hAnsi="Calibri" w:cs="Arial"/>
                <w:b/>
                <w:bCs/>
                <w:color w:val="000000"/>
                <w:sz w:val="22"/>
                <w:szCs w:val="22"/>
              </w:rPr>
            </w:pPr>
            <w:r w:rsidRPr="009E6745">
              <w:rPr>
                <w:rFonts w:ascii="Calibri" w:hAnsi="Calibri" w:cs="Arial"/>
                <w:b/>
                <w:bCs/>
                <w:color w:val="000000"/>
                <w:sz w:val="22"/>
                <w:szCs w:val="22"/>
              </w:rPr>
              <w:t xml:space="preserve">0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Calibri" w:hAnsi="Calibri" w:cs="Arial"/>
                <w:b/>
                <w:bCs/>
                <w:color w:val="000000"/>
                <w:sz w:val="22"/>
                <w:szCs w:val="22"/>
              </w:rPr>
            </w:pPr>
            <w:r w:rsidRPr="009E6745">
              <w:rPr>
                <w:rFonts w:ascii="Calibri" w:hAnsi="Calibri" w:cs="Arial"/>
                <w:b/>
                <w:bCs/>
                <w:color w:val="000000"/>
                <w:sz w:val="22"/>
                <w:szCs w:val="22"/>
              </w:rPr>
              <w:t xml:space="preserve"> $                    (2,222)</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rPr>
                <w:rFonts w:ascii="Calibri" w:hAnsi="Calibri" w:cs="Arial"/>
                <w:b/>
                <w:bCs/>
                <w:color w:val="000000"/>
                <w:sz w:val="22"/>
                <w:szCs w:val="22"/>
              </w:rPr>
            </w:pPr>
            <w:r w:rsidRPr="009E6745">
              <w:rPr>
                <w:rFonts w:ascii="Calibri" w:hAnsi="Calibri" w:cs="Arial"/>
                <w:b/>
                <w:bCs/>
                <w:color w:val="000000"/>
                <w:sz w:val="22"/>
                <w:szCs w:val="22"/>
              </w:rPr>
              <w:t xml:space="preserve"> $                     163,875 </w:t>
            </w:r>
          </w:p>
        </w:tc>
        <w:tc>
          <w:tcPr>
            <w:tcW w:w="0" w:type="auto"/>
            <w:tcBorders>
              <w:top w:val="nil"/>
              <w:left w:val="nil"/>
              <w:bottom w:val="single" w:sz="4" w:space="0" w:color="auto"/>
              <w:right w:val="single" w:sz="4" w:space="0" w:color="auto"/>
            </w:tcBorders>
            <w:shd w:val="clear" w:color="auto" w:fill="auto"/>
            <w:noWrap/>
            <w:vAlign w:val="bottom"/>
            <w:hideMark/>
          </w:tcPr>
          <w:p w:rsidR="009E6745" w:rsidRPr="009E6745" w:rsidRDefault="009E6745" w:rsidP="009E6745">
            <w:pPr>
              <w:jc w:val="right"/>
              <w:rPr>
                <w:rFonts w:ascii="Calibri" w:hAnsi="Calibri" w:cs="Arial"/>
                <w:b/>
                <w:bCs/>
                <w:color w:val="000000"/>
                <w:sz w:val="22"/>
                <w:szCs w:val="22"/>
              </w:rPr>
            </w:pPr>
            <w:r w:rsidRPr="009E6745">
              <w:rPr>
                <w:rFonts w:ascii="Calibri" w:hAnsi="Calibri" w:cs="Arial"/>
                <w:b/>
                <w:bCs/>
                <w:color w:val="000000"/>
                <w:sz w:val="22"/>
                <w:szCs w:val="22"/>
              </w:rPr>
              <w:t>100%</w:t>
            </w:r>
          </w:p>
        </w:tc>
      </w:tr>
      <w:tr w:rsidR="009E6745" w:rsidRPr="009E6745" w:rsidTr="009E6745">
        <w:trPr>
          <w:trHeight w:val="315"/>
        </w:trPr>
        <w:tc>
          <w:tcPr>
            <w:tcW w:w="0" w:type="auto"/>
            <w:tcBorders>
              <w:top w:val="nil"/>
              <w:left w:val="nil"/>
              <w:bottom w:val="nil"/>
              <w:right w:val="nil"/>
            </w:tcBorders>
            <w:shd w:val="clear" w:color="auto" w:fill="auto"/>
            <w:hideMark/>
          </w:tcPr>
          <w:p w:rsidR="009E6745" w:rsidRPr="009E6745" w:rsidRDefault="009E6745" w:rsidP="009E6745">
            <w:pPr>
              <w:jc w:val="right"/>
              <w:rPr>
                <w:rFonts w:ascii="Calibri" w:hAnsi="Calibri" w:cs="Arial"/>
                <w:b/>
                <w:bCs/>
                <w:color w:val="000000"/>
                <w:sz w:val="22"/>
                <w:szCs w:val="22"/>
              </w:rPr>
            </w:pPr>
          </w:p>
        </w:tc>
        <w:tc>
          <w:tcPr>
            <w:tcW w:w="0" w:type="auto"/>
            <w:tcBorders>
              <w:top w:val="nil"/>
              <w:left w:val="nil"/>
              <w:bottom w:val="nil"/>
              <w:right w:val="nil"/>
            </w:tcBorders>
            <w:shd w:val="clear" w:color="auto" w:fill="auto"/>
            <w:noWrap/>
            <w:vAlign w:val="bottom"/>
            <w:hideMark/>
          </w:tcPr>
          <w:p w:rsidR="009E6745" w:rsidRPr="009E6745" w:rsidRDefault="009E6745" w:rsidP="009E6745">
            <w:pPr>
              <w:rPr>
                <w:sz w:val="20"/>
                <w:szCs w:val="20"/>
              </w:rPr>
            </w:pPr>
          </w:p>
        </w:tc>
        <w:tc>
          <w:tcPr>
            <w:tcW w:w="0" w:type="auto"/>
            <w:tcBorders>
              <w:top w:val="nil"/>
              <w:left w:val="nil"/>
              <w:bottom w:val="double" w:sz="6" w:space="0" w:color="auto"/>
              <w:right w:val="nil"/>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c>
          <w:tcPr>
            <w:tcW w:w="0" w:type="auto"/>
            <w:tcBorders>
              <w:top w:val="nil"/>
              <w:left w:val="nil"/>
              <w:bottom w:val="nil"/>
              <w:right w:val="nil"/>
            </w:tcBorders>
            <w:shd w:val="clear" w:color="auto" w:fill="auto"/>
            <w:noWrap/>
            <w:vAlign w:val="bottom"/>
            <w:hideMark/>
          </w:tcPr>
          <w:p w:rsidR="009E6745" w:rsidRPr="009E6745" w:rsidRDefault="009E6745" w:rsidP="009E6745">
            <w:pPr>
              <w:rPr>
                <w:rFonts w:ascii="Arial" w:hAnsi="Arial" w:cs="Arial"/>
                <w:color w:val="000000"/>
                <w:sz w:val="22"/>
                <w:szCs w:val="22"/>
              </w:rPr>
            </w:pPr>
          </w:p>
        </w:tc>
        <w:tc>
          <w:tcPr>
            <w:tcW w:w="0" w:type="auto"/>
            <w:tcBorders>
              <w:top w:val="nil"/>
              <w:left w:val="nil"/>
              <w:bottom w:val="nil"/>
              <w:right w:val="nil"/>
            </w:tcBorders>
            <w:shd w:val="clear" w:color="auto" w:fill="auto"/>
            <w:noWrap/>
            <w:vAlign w:val="bottom"/>
            <w:hideMark/>
          </w:tcPr>
          <w:p w:rsidR="009E6745" w:rsidRPr="009E6745" w:rsidRDefault="009E6745" w:rsidP="009E6745">
            <w:pPr>
              <w:rPr>
                <w:sz w:val="20"/>
                <w:szCs w:val="20"/>
              </w:rPr>
            </w:pPr>
          </w:p>
        </w:tc>
        <w:tc>
          <w:tcPr>
            <w:tcW w:w="0" w:type="auto"/>
            <w:tcBorders>
              <w:top w:val="nil"/>
              <w:left w:val="nil"/>
              <w:bottom w:val="double" w:sz="6" w:space="0" w:color="auto"/>
              <w:right w:val="nil"/>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c>
          <w:tcPr>
            <w:tcW w:w="0" w:type="auto"/>
            <w:tcBorders>
              <w:top w:val="nil"/>
              <w:left w:val="nil"/>
              <w:bottom w:val="double" w:sz="6" w:space="0" w:color="auto"/>
              <w:right w:val="nil"/>
            </w:tcBorders>
            <w:shd w:val="clear" w:color="auto" w:fill="auto"/>
            <w:noWrap/>
            <w:vAlign w:val="bottom"/>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w:t>
            </w:r>
          </w:p>
        </w:tc>
        <w:tc>
          <w:tcPr>
            <w:tcW w:w="0" w:type="auto"/>
            <w:tcBorders>
              <w:top w:val="nil"/>
              <w:left w:val="nil"/>
              <w:bottom w:val="double" w:sz="6" w:space="0" w:color="auto"/>
              <w:right w:val="nil"/>
            </w:tcBorders>
            <w:shd w:val="clear" w:color="auto" w:fill="auto"/>
            <w:noWrap/>
            <w:vAlign w:val="bottom"/>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 </w:t>
            </w:r>
          </w:p>
        </w:tc>
      </w:tr>
      <w:tr w:rsidR="009E6745" w:rsidRPr="009E6745" w:rsidTr="009E6745">
        <w:trPr>
          <w:trHeight w:val="315"/>
        </w:trPr>
        <w:tc>
          <w:tcPr>
            <w:tcW w:w="0" w:type="auto"/>
            <w:tcBorders>
              <w:top w:val="nil"/>
              <w:left w:val="nil"/>
              <w:bottom w:val="nil"/>
              <w:right w:val="nil"/>
            </w:tcBorders>
            <w:shd w:val="clear" w:color="auto" w:fill="auto"/>
            <w:hideMark/>
          </w:tcPr>
          <w:p w:rsidR="009E6745" w:rsidRPr="009E6745" w:rsidRDefault="009E6745" w:rsidP="009E6745">
            <w:pPr>
              <w:jc w:val="center"/>
              <w:rPr>
                <w:rFonts w:ascii="Arial" w:hAnsi="Arial" w:cs="Arial"/>
                <w:color w:val="000000"/>
                <w:sz w:val="22"/>
                <w:szCs w:val="22"/>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r>
      <w:tr w:rsidR="009E6745" w:rsidRPr="009E6745" w:rsidTr="009E6745">
        <w:trPr>
          <w:trHeight w:val="576"/>
        </w:trPr>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9E6745" w:rsidRPr="009E6745" w:rsidRDefault="009E6745" w:rsidP="009E6745">
            <w:pPr>
              <w:rPr>
                <w:rFonts w:ascii="Arial" w:hAnsi="Arial" w:cs="Arial"/>
                <w:color w:val="000000"/>
                <w:sz w:val="18"/>
                <w:szCs w:val="22"/>
              </w:rPr>
            </w:pPr>
            <w:r w:rsidRPr="009E6745">
              <w:rPr>
                <w:rFonts w:ascii="Calibri" w:hAnsi="Calibri" w:cs="Arial"/>
                <w:b/>
                <w:bCs/>
                <w:color w:val="000000"/>
                <w:sz w:val="18"/>
                <w:szCs w:val="22"/>
              </w:rPr>
              <w:t>TEGBX</w:t>
            </w:r>
            <w:r w:rsidRPr="009E6745">
              <w:rPr>
                <w:rFonts w:ascii="Arial" w:hAnsi="Arial" w:cs="Arial"/>
                <w:color w:val="000000"/>
                <w:sz w:val="18"/>
                <w:szCs w:val="22"/>
              </w:rPr>
              <w:t>-Templeton Global Bond Fund Class C - Strategy: The Fund seeks current income with capital appreciation and growth of income by investing at least 80% of its net assets in "bonds." In addition, the Fund's assets will be invested in issuers located in at least three countries including the U.S.</w:t>
            </w:r>
          </w:p>
        </w:tc>
        <w:tc>
          <w:tcPr>
            <w:tcW w:w="0" w:type="auto"/>
            <w:tcBorders>
              <w:top w:val="nil"/>
              <w:left w:val="nil"/>
              <w:bottom w:val="nil"/>
              <w:right w:val="nil"/>
            </w:tcBorders>
            <w:shd w:val="clear" w:color="auto" w:fill="auto"/>
            <w:vAlign w:val="center"/>
            <w:hideMark/>
          </w:tcPr>
          <w:p w:rsidR="009E6745" w:rsidRPr="009E6745" w:rsidRDefault="009E6745" w:rsidP="009E6745">
            <w:pPr>
              <w:rPr>
                <w:rFonts w:ascii="Arial" w:hAnsi="Arial" w:cs="Arial"/>
                <w:color w:val="000000"/>
                <w:sz w:val="22"/>
                <w:szCs w:val="22"/>
              </w:rPr>
            </w:pPr>
          </w:p>
        </w:tc>
      </w:tr>
      <w:tr w:rsidR="009E6745" w:rsidRPr="009E6745" w:rsidTr="009E6745">
        <w:trPr>
          <w:trHeight w:val="576"/>
        </w:trPr>
        <w:tc>
          <w:tcPr>
            <w:tcW w:w="0" w:type="auto"/>
            <w:tcBorders>
              <w:top w:val="nil"/>
              <w:left w:val="nil"/>
              <w:bottom w:val="nil"/>
              <w:right w:val="nil"/>
            </w:tcBorders>
            <w:shd w:val="clear" w:color="auto" w:fill="auto"/>
            <w:hideMark/>
          </w:tcPr>
          <w:p w:rsidR="009E6745" w:rsidRPr="009E6745" w:rsidRDefault="009E6745" w:rsidP="009E6745">
            <w:pPr>
              <w:jc w:val="center"/>
              <w:rPr>
                <w:sz w:val="20"/>
                <w:szCs w:val="20"/>
              </w:rPr>
            </w:pPr>
          </w:p>
        </w:tc>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9E6745" w:rsidRPr="009E6745" w:rsidRDefault="009E6745" w:rsidP="009E6745">
            <w:pPr>
              <w:rPr>
                <w:rFonts w:ascii="Arial" w:hAnsi="Arial" w:cs="Arial"/>
                <w:color w:val="000000"/>
                <w:sz w:val="18"/>
                <w:szCs w:val="22"/>
              </w:rPr>
            </w:pPr>
            <w:r w:rsidRPr="009E6745">
              <w:rPr>
                <w:rFonts w:ascii="Calibri" w:hAnsi="Calibri" w:cs="Arial"/>
                <w:b/>
                <w:bCs/>
                <w:color w:val="000000"/>
                <w:sz w:val="18"/>
                <w:szCs w:val="22"/>
              </w:rPr>
              <w:t>FSGCX</w:t>
            </w:r>
            <w:r w:rsidRPr="009E6745">
              <w:rPr>
                <w:rFonts w:ascii="Arial" w:hAnsi="Arial" w:cs="Arial"/>
                <w:color w:val="000000"/>
                <w:sz w:val="18"/>
                <w:szCs w:val="22"/>
              </w:rPr>
              <w:t>-Franklin Templeton Strategic Income Fund Class C - Strategy: The Fund seeks to earn a high level of current income. Its secondary goal is capital appreciation over the long term. The Fund invests at least 65% of its assets in U.S. and foreign debt securities.</w:t>
            </w:r>
          </w:p>
        </w:tc>
        <w:tc>
          <w:tcPr>
            <w:tcW w:w="0" w:type="auto"/>
            <w:tcBorders>
              <w:top w:val="nil"/>
              <w:left w:val="nil"/>
              <w:bottom w:val="nil"/>
              <w:right w:val="nil"/>
            </w:tcBorders>
            <w:shd w:val="clear" w:color="auto" w:fill="auto"/>
            <w:vAlign w:val="center"/>
            <w:hideMark/>
          </w:tcPr>
          <w:p w:rsidR="009E6745" w:rsidRPr="009E6745" w:rsidRDefault="009E6745" w:rsidP="009E6745">
            <w:pPr>
              <w:rPr>
                <w:rFonts w:ascii="Arial" w:hAnsi="Arial" w:cs="Arial"/>
                <w:color w:val="000000"/>
                <w:sz w:val="22"/>
                <w:szCs w:val="22"/>
              </w:rPr>
            </w:pPr>
          </w:p>
        </w:tc>
      </w:tr>
      <w:tr w:rsidR="009E6745" w:rsidRPr="009E6745" w:rsidTr="009E6745">
        <w:trPr>
          <w:trHeight w:val="576"/>
        </w:trPr>
        <w:tc>
          <w:tcPr>
            <w:tcW w:w="0" w:type="auto"/>
            <w:tcBorders>
              <w:top w:val="nil"/>
              <w:left w:val="nil"/>
              <w:bottom w:val="nil"/>
              <w:right w:val="nil"/>
            </w:tcBorders>
            <w:shd w:val="clear" w:color="auto" w:fill="auto"/>
            <w:hideMark/>
          </w:tcPr>
          <w:p w:rsidR="009E6745" w:rsidRPr="009E6745" w:rsidRDefault="009E6745" w:rsidP="009E6745">
            <w:pPr>
              <w:jc w:val="center"/>
              <w:rPr>
                <w:sz w:val="20"/>
                <w:szCs w:val="20"/>
              </w:rPr>
            </w:pPr>
          </w:p>
        </w:tc>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9E6745" w:rsidRPr="009E6745" w:rsidRDefault="009E6745" w:rsidP="009E6745">
            <w:pPr>
              <w:rPr>
                <w:rFonts w:ascii="Arial" w:hAnsi="Arial" w:cs="Arial"/>
                <w:color w:val="000000"/>
                <w:sz w:val="18"/>
                <w:szCs w:val="22"/>
              </w:rPr>
            </w:pPr>
            <w:r w:rsidRPr="009E6745">
              <w:rPr>
                <w:rFonts w:ascii="Calibri" w:hAnsi="Calibri" w:cs="Arial"/>
                <w:b/>
                <w:bCs/>
                <w:color w:val="000000"/>
                <w:sz w:val="18"/>
                <w:szCs w:val="22"/>
              </w:rPr>
              <w:t>FCSCX</w:t>
            </w:r>
            <w:r w:rsidRPr="009E6745">
              <w:rPr>
                <w:rFonts w:ascii="Arial" w:hAnsi="Arial" w:cs="Arial"/>
                <w:color w:val="000000"/>
                <w:sz w:val="18"/>
                <w:szCs w:val="22"/>
              </w:rPr>
              <w:t>-Franklin Adjustable US Government Securities Fund Class C- Strategy: The Fund seeks a high level of current income while providing lower volatility of principal than a fund that invests in fixed-rate securities. The Fund invests at least 80% of its net assets in adjustable-rate U.S. government mortgage securities.</w:t>
            </w:r>
          </w:p>
        </w:tc>
        <w:tc>
          <w:tcPr>
            <w:tcW w:w="0" w:type="auto"/>
            <w:tcBorders>
              <w:top w:val="nil"/>
              <w:left w:val="nil"/>
              <w:bottom w:val="nil"/>
              <w:right w:val="nil"/>
            </w:tcBorders>
            <w:shd w:val="clear" w:color="auto" w:fill="auto"/>
            <w:vAlign w:val="center"/>
            <w:hideMark/>
          </w:tcPr>
          <w:p w:rsidR="009E6745" w:rsidRPr="009E6745" w:rsidRDefault="009E6745" w:rsidP="009E6745">
            <w:pPr>
              <w:rPr>
                <w:rFonts w:ascii="Arial" w:hAnsi="Arial" w:cs="Arial"/>
                <w:color w:val="000000"/>
                <w:sz w:val="22"/>
                <w:szCs w:val="22"/>
              </w:rPr>
            </w:pPr>
          </w:p>
        </w:tc>
      </w:tr>
      <w:tr w:rsidR="009E6745" w:rsidRPr="009E6745" w:rsidTr="009E6745">
        <w:trPr>
          <w:trHeight w:val="576"/>
        </w:trPr>
        <w:tc>
          <w:tcPr>
            <w:tcW w:w="0" w:type="auto"/>
            <w:tcBorders>
              <w:top w:val="nil"/>
              <w:left w:val="nil"/>
              <w:bottom w:val="nil"/>
              <w:right w:val="nil"/>
            </w:tcBorders>
            <w:shd w:val="clear" w:color="auto" w:fill="auto"/>
            <w:hideMark/>
          </w:tcPr>
          <w:p w:rsidR="009E6745" w:rsidRPr="009E6745" w:rsidRDefault="009E6745" w:rsidP="009E6745">
            <w:pPr>
              <w:jc w:val="center"/>
              <w:rPr>
                <w:sz w:val="20"/>
                <w:szCs w:val="20"/>
              </w:rPr>
            </w:pPr>
          </w:p>
        </w:tc>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9E6745" w:rsidRPr="009E6745" w:rsidRDefault="009E6745" w:rsidP="009E6745">
            <w:pPr>
              <w:rPr>
                <w:rFonts w:ascii="Arial" w:hAnsi="Arial" w:cs="Arial"/>
                <w:color w:val="000000"/>
                <w:sz w:val="18"/>
                <w:szCs w:val="22"/>
              </w:rPr>
            </w:pPr>
            <w:r w:rsidRPr="009E6745">
              <w:rPr>
                <w:rFonts w:ascii="Calibri" w:hAnsi="Calibri" w:cs="Arial"/>
                <w:b/>
                <w:bCs/>
                <w:color w:val="000000"/>
                <w:sz w:val="18"/>
                <w:szCs w:val="22"/>
              </w:rPr>
              <w:t>FRGSX</w:t>
            </w:r>
            <w:r w:rsidRPr="009E6745">
              <w:rPr>
                <w:rFonts w:ascii="Arial" w:hAnsi="Arial" w:cs="Arial"/>
                <w:color w:val="000000"/>
                <w:sz w:val="18"/>
                <w:szCs w:val="22"/>
              </w:rPr>
              <w:t>-Franklin Growth Series Class C- Strategy: The Fund seeks capital appreciation. The Fund primarily invests in equity securities that are leaders in their industries.</w:t>
            </w:r>
          </w:p>
        </w:tc>
        <w:tc>
          <w:tcPr>
            <w:tcW w:w="0" w:type="auto"/>
            <w:tcBorders>
              <w:top w:val="nil"/>
              <w:left w:val="nil"/>
              <w:bottom w:val="nil"/>
              <w:right w:val="nil"/>
            </w:tcBorders>
            <w:shd w:val="clear" w:color="auto" w:fill="auto"/>
            <w:vAlign w:val="center"/>
            <w:hideMark/>
          </w:tcPr>
          <w:p w:rsidR="009E6745" w:rsidRPr="009E6745" w:rsidRDefault="009E6745" w:rsidP="009E6745">
            <w:pPr>
              <w:rPr>
                <w:rFonts w:ascii="Arial" w:hAnsi="Arial" w:cs="Arial"/>
                <w:color w:val="000000"/>
                <w:sz w:val="22"/>
                <w:szCs w:val="22"/>
              </w:rPr>
            </w:pPr>
          </w:p>
        </w:tc>
      </w:tr>
      <w:tr w:rsidR="009E6745" w:rsidRPr="009E6745" w:rsidTr="009E6745">
        <w:trPr>
          <w:trHeight w:val="576"/>
        </w:trPr>
        <w:tc>
          <w:tcPr>
            <w:tcW w:w="0" w:type="auto"/>
            <w:tcBorders>
              <w:top w:val="nil"/>
              <w:left w:val="nil"/>
              <w:bottom w:val="nil"/>
              <w:right w:val="nil"/>
            </w:tcBorders>
            <w:shd w:val="clear" w:color="auto" w:fill="auto"/>
            <w:hideMark/>
          </w:tcPr>
          <w:p w:rsidR="009E6745" w:rsidRPr="009E6745" w:rsidRDefault="009E6745" w:rsidP="009E6745">
            <w:pPr>
              <w:jc w:val="center"/>
              <w:rPr>
                <w:sz w:val="20"/>
                <w:szCs w:val="20"/>
              </w:rPr>
            </w:pPr>
          </w:p>
        </w:tc>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9E6745" w:rsidRPr="009E6745" w:rsidRDefault="009E6745" w:rsidP="009E6745">
            <w:pPr>
              <w:rPr>
                <w:rFonts w:ascii="Arial" w:hAnsi="Arial" w:cs="Arial"/>
                <w:color w:val="000000"/>
                <w:sz w:val="18"/>
                <w:szCs w:val="22"/>
              </w:rPr>
            </w:pPr>
            <w:r w:rsidRPr="009E6745">
              <w:rPr>
                <w:rFonts w:ascii="Calibri" w:hAnsi="Calibri" w:cs="Arial"/>
                <w:b/>
                <w:bCs/>
                <w:color w:val="000000"/>
                <w:sz w:val="18"/>
                <w:szCs w:val="22"/>
              </w:rPr>
              <w:t>FRUGX</w:t>
            </w:r>
            <w:r w:rsidRPr="009E6745">
              <w:rPr>
                <w:rFonts w:ascii="Arial" w:hAnsi="Arial" w:cs="Arial"/>
                <w:color w:val="000000"/>
                <w:sz w:val="18"/>
                <w:szCs w:val="22"/>
              </w:rPr>
              <w:t>-Franklin US Government Securities Series Class C- Strategy: The Fund seeks income. Under normal market conditions, the Fund invests at least 80% of its net assets in U.S. government securities. The Fund presently invests substantially all of its assets in Government National Mortgage Association obligations (Ginnie Maes).</w:t>
            </w:r>
          </w:p>
        </w:tc>
        <w:tc>
          <w:tcPr>
            <w:tcW w:w="0" w:type="auto"/>
            <w:tcBorders>
              <w:top w:val="nil"/>
              <w:left w:val="nil"/>
              <w:bottom w:val="nil"/>
              <w:right w:val="nil"/>
            </w:tcBorders>
            <w:shd w:val="clear" w:color="auto" w:fill="auto"/>
            <w:vAlign w:val="center"/>
            <w:hideMark/>
          </w:tcPr>
          <w:p w:rsidR="009E6745" w:rsidRPr="009E6745" w:rsidRDefault="009E6745" w:rsidP="009E6745">
            <w:pPr>
              <w:rPr>
                <w:rFonts w:ascii="Arial" w:hAnsi="Arial" w:cs="Arial"/>
                <w:color w:val="000000"/>
                <w:sz w:val="22"/>
                <w:szCs w:val="22"/>
              </w:rPr>
            </w:pPr>
          </w:p>
        </w:tc>
      </w:tr>
      <w:tr w:rsidR="009E6745" w:rsidRPr="009E6745" w:rsidTr="009E6745">
        <w:trPr>
          <w:trHeight w:val="576"/>
        </w:trPr>
        <w:tc>
          <w:tcPr>
            <w:tcW w:w="0" w:type="auto"/>
            <w:tcBorders>
              <w:top w:val="nil"/>
              <w:left w:val="nil"/>
              <w:bottom w:val="nil"/>
              <w:right w:val="nil"/>
            </w:tcBorders>
            <w:shd w:val="clear" w:color="auto" w:fill="auto"/>
            <w:hideMark/>
          </w:tcPr>
          <w:p w:rsidR="009E6745" w:rsidRPr="009E6745" w:rsidRDefault="009E6745" w:rsidP="009E6745">
            <w:pPr>
              <w:jc w:val="center"/>
              <w:rPr>
                <w:sz w:val="20"/>
                <w:szCs w:val="20"/>
              </w:rPr>
            </w:pPr>
          </w:p>
        </w:tc>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9E6745" w:rsidRPr="009E6745" w:rsidRDefault="009E6745" w:rsidP="009E6745">
            <w:pPr>
              <w:spacing w:after="240"/>
              <w:rPr>
                <w:rFonts w:ascii="Arial" w:hAnsi="Arial" w:cs="Arial"/>
                <w:color w:val="000000"/>
                <w:sz w:val="18"/>
                <w:szCs w:val="22"/>
              </w:rPr>
            </w:pPr>
            <w:r w:rsidRPr="009E6745">
              <w:rPr>
                <w:rFonts w:ascii="Calibri" w:hAnsi="Calibri" w:cs="Arial"/>
                <w:b/>
                <w:bCs/>
                <w:color w:val="000000"/>
                <w:sz w:val="18"/>
                <w:szCs w:val="22"/>
              </w:rPr>
              <w:t>FCISX</w:t>
            </w:r>
            <w:r w:rsidRPr="009E6745">
              <w:rPr>
                <w:rFonts w:ascii="Arial" w:hAnsi="Arial" w:cs="Arial"/>
                <w:color w:val="000000"/>
                <w:sz w:val="18"/>
                <w:szCs w:val="22"/>
              </w:rPr>
              <w:t xml:space="preserve">-Franklin Income Series Class C- Strategy: The Fund seeks to maximize income while maintaining prospects for capital appreciation. The Fund will achieve this by investing in a diversified portfolio of debt and equity securities. </w:t>
            </w:r>
          </w:p>
        </w:tc>
        <w:tc>
          <w:tcPr>
            <w:tcW w:w="0" w:type="auto"/>
            <w:tcBorders>
              <w:top w:val="nil"/>
              <w:left w:val="nil"/>
              <w:bottom w:val="nil"/>
              <w:right w:val="nil"/>
            </w:tcBorders>
            <w:shd w:val="clear" w:color="auto" w:fill="auto"/>
            <w:vAlign w:val="center"/>
            <w:hideMark/>
          </w:tcPr>
          <w:p w:rsidR="009E6745" w:rsidRPr="009E6745" w:rsidRDefault="009E6745" w:rsidP="009E6745">
            <w:pPr>
              <w:spacing w:after="240"/>
              <w:rPr>
                <w:rFonts w:ascii="Arial" w:hAnsi="Arial" w:cs="Arial"/>
                <w:color w:val="000000"/>
                <w:sz w:val="22"/>
                <w:szCs w:val="22"/>
              </w:rPr>
            </w:pPr>
          </w:p>
        </w:tc>
      </w:tr>
      <w:tr w:rsidR="009E6745" w:rsidRPr="009E6745" w:rsidTr="009E6745">
        <w:trPr>
          <w:trHeight w:val="150"/>
        </w:trPr>
        <w:tc>
          <w:tcPr>
            <w:tcW w:w="0" w:type="auto"/>
            <w:tcBorders>
              <w:top w:val="nil"/>
              <w:left w:val="nil"/>
              <w:bottom w:val="nil"/>
              <w:right w:val="nil"/>
            </w:tcBorders>
            <w:shd w:val="clear" w:color="auto" w:fill="auto"/>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r>
      <w:tr w:rsidR="009E6745" w:rsidRPr="009E6745" w:rsidTr="009E6745">
        <w:trPr>
          <w:trHeight w:val="510"/>
        </w:trPr>
        <w:tc>
          <w:tcPr>
            <w:tcW w:w="0" w:type="auto"/>
            <w:gridSpan w:val="8"/>
            <w:tcBorders>
              <w:top w:val="nil"/>
              <w:left w:val="nil"/>
              <w:bottom w:val="nil"/>
              <w:right w:val="nil"/>
            </w:tcBorders>
            <w:shd w:val="clear" w:color="auto" w:fill="auto"/>
            <w:vAlign w:val="bottom"/>
            <w:hideMark/>
          </w:tcPr>
          <w:p w:rsidR="009E6745" w:rsidRPr="009E6745" w:rsidRDefault="009E6745" w:rsidP="009E6745">
            <w:pPr>
              <w:rPr>
                <w:rFonts w:ascii="Wingdings" w:hAnsi="Wingdings" w:cs="Arial"/>
                <w:color w:val="000000"/>
              </w:rPr>
            </w:pPr>
            <w:r w:rsidRPr="009E6745">
              <w:rPr>
                <w:rFonts w:ascii="Wingdings" w:hAnsi="Wingdings" w:cs="Arial"/>
                <w:color w:val="000000"/>
              </w:rPr>
              <w:t></w:t>
            </w:r>
            <w:r w:rsidRPr="009E6745">
              <w:rPr>
                <w:b/>
                <w:bCs/>
                <w:color w:val="000000"/>
              </w:rPr>
              <w:t xml:space="preserve"> Equipment, Furniture &amp; Vehicles</w:t>
            </w:r>
            <w:r w:rsidRPr="009E6745">
              <w:rPr>
                <w:rFonts w:ascii="Calibri" w:hAnsi="Calibri" w:cs="Arial"/>
                <w:color w:val="000000"/>
              </w:rPr>
              <w:t xml:space="preserve"> -We purchased $4,000 for new computer equipment and $21,894 for new Ford Taurus vehicle.</w:t>
            </w:r>
          </w:p>
        </w:tc>
      </w:tr>
      <w:tr w:rsidR="009E6745" w:rsidRPr="009E6745" w:rsidTr="009E6745">
        <w:trPr>
          <w:trHeight w:val="300"/>
        </w:trPr>
        <w:tc>
          <w:tcPr>
            <w:tcW w:w="0" w:type="auto"/>
            <w:tcBorders>
              <w:top w:val="nil"/>
              <w:left w:val="nil"/>
              <w:bottom w:val="nil"/>
              <w:right w:val="nil"/>
            </w:tcBorders>
            <w:shd w:val="clear" w:color="auto" w:fill="auto"/>
            <w:hideMark/>
          </w:tcPr>
          <w:p w:rsidR="009E6745" w:rsidRPr="009E6745" w:rsidRDefault="009E6745" w:rsidP="009E6745">
            <w:pPr>
              <w:rPr>
                <w:rFonts w:ascii="Wingdings" w:hAnsi="Wingdings" w:cs="Arial"/>
                <w:color w:val="000000"/>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9E6745" w:rsidRPr="009E6745" w:rsidRDefault="009E6745" w:rsidP="009E6745">
            <w:pPr>
              <w:jc w:val="center"/>
              <w:rPr>
                <w:rFonts w:ascii="Calibri" w:hAnsi="Calibri" w:cs="Arial"/>
                <w:b/>
                <w:bCs/>
                <w:color w:val="000000"/>
                <w:sz w:val="22"/>
                <w:szCs w:val="22"/>
              </w:rPr>
            </w:pPr>
            <w:r w:rsidRPr="009E6745">
              <w:rPr>
                <w:rFonts w:ascii="Calibri" w:hAnsi="Calibri" w:cs="Arial"/>
                <w:b/>
                <w:bCs/>
                <w:color w:val="000000"/>
                <w:sz w:val="22"/>
                <w:szCs w:val="22"/>
              </w:rPr>
              <w:t>Month in Service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E6745" w:rsidRPr="009E6745" w:rsidRDefault="009E6745" w:rsidP="009E6745">
            <w:pPr>
              <w:jc w:val="center"/>
              <w:rPr>
                <w:rFonts w:ascii="Calibri" w:hAnsi="Calibri" w:cs="Arial"/>
                <w:b/>
                <w:bCs/>
                <w:color w:val="000000"/>
                <w:sz w:val="22"/>
                <w:szCs w:val="22"/>
              </w:rPr>
            </w:pPr>
            <w:r w:rsidRPr="009E6745">
              <w:rPr>
                <w:rFonts w:ascii="Calibri" w:hAnsi="Calibri" w:cs="Arial"/>
                <w:b/>
                <w:bCs/>
                <w:color w:val="000000"/>
                <w:sz w:val="22"/>
                <w:szCs w:val="22"/>
              </w:rPr>
              <w:t>Funding Source</w:t>
            </w:r>
          </w:p>
        </w:tc>
        <w:tc>
          <w:tcPr>
            <w:tcW w:w="0" w:type="auto"/>
            <w:tcBorders>
              <w:top w:val="single" w:sz="4" w:space="0" w:color="auto"/>
              <w:left w:val="nil"/>
              <w:bottom w:val="single" w:sz="4" w:space="0" w:color="auto"/>
              <w:right w:val="single" w:sz="4" w:space="0" w:color="auto"/>
            </w:tcBorders>
            <w:shd w:val="clear" w:color="auto" w:fill="auto"/>
            <w:hideMark/>
          </w:tcPr>
          <w:p w:rsidR="009E6745" w:rsidRPr="009E6745" w:rsidRDefault="009E6745" w:rsidP="009E6745">
            <w:pPr>
              <w:jc w:val="center"/>
              <w:rPr>
                <w:rFonts w:ascii="Calibri" w:hAnsi="Calibri" w:cs="Arial"/>
                <w:b/>
                <w:bCs/>
                <w:color w:val="000000"/>
                <w:sz w:val="22"/>
                <w:szCs w:val="22"/>
              </w:rPr>
            </w:pPr>
            <w:r w:rsidRPr="009E6745">
              <w:rPr>
                <w:rFonts w:ascii="Calibri" w:hAnsi="Calibri" w:cs="Arial"/>
                <w:b/>
                <w:bCs/>
                <w:color w:val="000000"/>
                <w:sz w:val="22"/>
                <w:szCs w:val="22"/>
              </w:rPr>
              <w:t>Supplier</w:t>
            </w:r>
          </w:p>
        </w:tc>
        <w:tc>
          <w:tcPr>
            <w:tcW w:w="0" w:type="auto"/>
            <w:gridSpan w:val="2"/>
            <w:tcBorders>
              <w:top w:val="single" w:sz="4" w:space="0" w:color="auto"/>
              <w:left w:val="nil"/>
              <w:bottom w:val="single" w:sz="4" w:space="0" w:color="auto"/>
              <w:right w:val="single" w:sz="4" w:space="0" w:color="auto"/>
            </w:tcBorders>
            <w:shd w:val="clear" w:color="auto" w:fill="auto"/>
            <w:hideMark/>
          </w:tcPr>
          <w:p w:rsidR="009E6745" w:rsidRPr="009E6745" w:rsidRDefault="009E6745" w:rsidP="009E6745">
            <w:pPr>
              <w:jc w:val="center"/>
              <w:rPr>
                <w:rFonts w:ascii="Calibri" w:hAnsi="Calibri" w:cs="Arial"/>
                <w:b/>
                <w:bCs/>
                <w:color w:val="000000"/>
                <w:sz w:val="22"/>
                <w:szCs w:val="22"/>
              </w:rPr>
            </w:pPr>
            <w:r w:rsidRPr="009E6745">
              <w:rPr>
                <w:rFonts w:ascii="Calibri" w:hAnsi="Calibri" w:cs="Arial"/>
                <w:b/>
                <w:bCs/>
                <w:color w:val="000000"/>
                <w:sz w:val="22"/>
                <w:szCs w:val="22"/>
              </w:rPr>
              <w:t>Description</w:t>
            </w:r>
          </w:p>
        </w:tc>
        <w:tc>
          <w:tcPr>
            <w:tcW w:w="0" w:type="auto"/>
            <w:tcBorders>
              <w:top w:val="nil"/>
              <w:left w:val="nil"/>
              <w:bottom w:val="single" w:sz="4" w:space="0" w:color="auto"/>
              <w:right w:val="single" w:sz="4" w:space="0" w:color="auto"/>
            </w:tcBorders>
            <w:shd w:val="clear" w:color="auto" w:fill="auto"/>
            <w:hideMark/>
          </w:tcPr>
          <w:p w:rsidR="009E6745" w:rsidRPr="009E6745" w:rsidRDefault="009E6745" w:rsidP="009E6745">
            <w:pPr>
              <w:jc w:val="center"/>
              <w:rPr>
                <w:rFonts w:ascii="Calibri" w:hAnsi="Calibri" w:cs="Arial"/>
                <w:b/>
                <w:bCs/>
                <w:color w:val="000000"/>
                <w:sz w:val="22"/>
                <w:szCs w:val="22"/>
              </w:rPr>
            </w:pPr>
            <w:r w:rsidRPr="009E6745">
              <w:rPr>
                <w:rFonts w:ascii="Calibri" w:hAnsi="Calibri" w:cs="Arial"/>
                <w:b/>
                <w:bCs/>
                <w:color w:val="000000"/>
                <w:sz w:val="22"/>
                <w:szCs w:val="22"/>
              </w:rPr>
              <w:t>Cost</w:t>
            </w:r>
          </w:p>
        </w:tc>
        <w:tc>
          <w:tcPr>
            <w:tcW w:w="0" w:type="auto"/>
            <w:tcBorders>
              <w:top w:val="nil"/>
              <w:left w:val="nil"/>
              <w:bottom w:val="nil"/>
              <w:right w:val="nil"/>
            </w:tcBorders>
            <w:shd w:val="clear" w:color="auto" w:fill="auto"/>
            <w:hideMark/>
          </w:tcPr>
          <w:p w:rsidR="009E6745" w:rsidRPr="009E6745" w:rsidRDefault="009E6745" w:rsidP="009E6745">
            <w:pPr>
              <w:jc w:val="center"/>
              <w:rPr>
                <w:rFonts w:ascii="Calibri" w:hAnsi="Calibri" w:cs="Arial"/>
                <w:b/>
                <w:bCs/>
                <w:color w:val="000000"/>
                <w:sz w:val="22"/>
                <w:szCs w:val="22"/>
              </w:rPr>
            </w:pPr>
          </w:p>
        </w:tc>
      </w:tr>
      <w:tr w:rsidR="009E6745" w:rsidRPr="009E6745" w:rsidTr="009E6745">
        <w:trPr>
          <w:trHeight w:val="600"/>
        </w:trPr>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Mar-18</w:t>
            </w:r>
          </w:p>
        </w:tc>
        <w:tc>
          <w:tcPr>
            <w:tcW w:w="0" w:type="auto"/>
            <w:tcBorders>
              <w:top w:val="nil"/>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RHN</w:t>
            </w:r>
          </w:p>
        </w:tc>
        <w:tc>
          <w:tcPr>
            <w:tcW w:w="0" w:type="auto"/>
            <w:tcBorders>
              <w:top w:val="nil"/>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16"/>
                <w:szCs w:val="16"/>
              </w:rPr>
            </w:pPr>
            <w:r w:rsidRPr="009E6745">
              <w:rPr>
                <w:rFonts w:ascii="Arial" w:hAnsi="Arial" w:cs="Arial"/>
                <w:color w:val="000000"/>
                <w:sz w:val="16"/>
                <w:szCs w:val="16"/>
              </w:rPr>
              <w:t xml:space="preserve"> Intelligent Technology Solutions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Dell Optiplex 7450</w:t>
            </w:r>
          </w:p>
        </w:tc>
        <w:tc>
          <w:tcPr>
            <w:tcW w:w="0" w:type="auto"/>
            <w:tcBorders>
              <w:top w:val="nil"/>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 xml:space="preserve"> $2,094 </w:t>
            </w:r>
          </w:p>
        </w:tc>
        <w:tc>
          <w:tcPr>
            <w:tcW w:w="0" w:type="auto"/>
            <w:tcBorders>
              <w:top w:val="nil"/>
              <w:left w:val="nil"/>
              <w:bottom w:val="nil"/>
              <w:right w:val="nil"/>
            </w:tcBorders>
            <w:shd w:val="clear" w:color="auto" w:fill="auto"/>
            <w:hideMark/>
          </w:tcPr>
          <w:p w:rsidR="009E6745" w:rsidRPr="009E6745" w:rsidRDefault="009E6745" w:rsidP="009E6745">
            <w:pPr>
              <w:jc w:val="center"/>
              <w:rPr>
                <w:rFonts w:ascii="Arial" w:hAnsi="Arial" w:cs="Arial"/>
                <w:color w:val="000000"/>
                <w:sz w:val="22"/>
                <w:szCs w:val="22"/>
              </w:rPr>
            </w:pPr>
          </w:p>
        </w:tc>
      </w:tr>
      <w:tr w:rsidR="009E6745" w:rsidRPr="009E6745" w:rsidTr="009E6745">
        <w:trPr>
          <w:trHeight w:val="600"/>
        </w:trPr>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Mar-18</w:t>
            </w:r>
          </w:p>
        </w:tc>
        <w:tc>
          <w:tcPr>
            <w:tcW w:w="0" w:type="auto"/>
            <w:tcBorders>
              <w:top w:val="nil"/>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RHN</w:t>
            </w:r>
          </w:p>
        </w:tc>
        <w:tc>
          <w:tcPr>
            <w:tcW w:w="0" w:type="auto"/>
            <w:tcBorders>
              <w:top w:val="nil"/>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16"/>
                <w:szCs w:val="16"/>
              </w:rPr>
            </w:pPr>
            <w:r w:rsidRPr="009E6745">
              <w:rPr>
                <w:rFonts w:ascii="Arial" w:hAnsi="Arial" w:cs="Arial"/>
                <w:color w:val="000000"/>
                <w:sz w:val="16"/>
                <w:szCs w:val="16"/>
              </w:rPr>
              <w:t xml:space="preserve"> Intelligent Technology Solutions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Dell Latitude Laptop</w:t>
            </w:r>
          </w:p>
        </w:tc>
        <w:tc>
          <w:tcPr>
            <w:tcW w:w="0" w:type="auto"/>
            <w:tcBorders>
              <w:top w:val="nil"/>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 xml:space="preserve"> $1,010 </w:t>
            </w:r>
          </w:p>
        </w:tc>
        <w:tc>
          <w:tcPr>
            <w:tcW w:w="0" w:type="auto"/>
            <w:tcBorders>
              <w:top w:val="nil"/>
              <w:left w:val="nil"/>
              <w:bottom w:val="nil"/>
              <w:right w:val="nil"/>
            </w:tcBorders>
            <w:shd w:val="clear" w:color="auto" w:fill="auto"/>
            <w:hideMark/>
          </w:tcPr>
          <w:p w:rsidR="009E6745" w:rsidRPr="009E6745" w:rsidRDefault="009E6745" w:rsidP="009E6745">
            <w:pPr>
              <w:jc w:val="center"/>
              <w:rPr>
                <w:rFonts w:ascii="Arial" w:hAnsi="Arial" w:cs="Arial"/>
                <w:color w:val="000000"/>
                <w:sz w:val="22"/>
                <w:szCs w:val="22"/>
              </w:rPr>
            </w:pPr>
          </w:p>
        </w:tc>
      </w:tr>
      <w:tr w:rsidR="009E6745" w:rsidRPr="009E6745" w:rsidTr="009E6745">
        <w:trPr>
          <w:trHeight w:val="600"/>
        </w:trPr>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Mar-18</w:t>
            </w:r>
          </w:p>
        </w:tc>
        <w:tc>
          <w:tcPr>
            <w:tcW w:w="0" w:type="auto"/>
            <w:tcBorders>
              <w:top w:val="nil"/>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RHN</w:t>
            </w:r>
          </w:p>
        </w:tc>
        <w:tc>
          <w:tcPr>
            <w:tcW w:w="0" w:type="auto"/>
            <w:tcBorders>
              <w:top w:val="nil"/>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16"/>
                <w:szCs w:val="16"/>
              </w:rPr>
            </w:pPr>
            <w:r w:rsidRPr="009E6745">
              <w:rPr>
                <w:rFonts w:ascii="Arial" w:hAnsi="Arial" w:cs="Arial"/>
                <w:color w:val="000000"/>
                <w:sz w:val="16"/>
                <w:szCs w:val="16"/>
              </w:rPr>
              <w:t xml:space="preserve"> Intelligent Technology Solutions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Samsung Galaxy Tablet</w:t>
            </w:r>
          </w:p>
        </w:tc>
        <w:tc>
          <w:tcPr>
            <w:tcW w:w="0" w:type="auto"/>
            <w:tcBorders>
              <w:top w:val="nil"/>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 xml:space="preserve"> $</w:t>
            </w:r>
            <w:r>
              <w:rPr>
                <w:rFonts w:ascii="Arial" w:hAnsi="Arial" w:cs="Arial"/>
                <w:color w:val="000000"/>
                <w:sz w:val="22"/>
                <w:szCs w:val="22"/>
              </w:rPr>
              <w:t xml:space="preserve">  </w:t>
            </w:r>
            <w:r w:rsidRPr="009E6745">
              <w:rPr>
                <w:rFonts w:ascii="Arial" w:hAnsi="Arial" w:cs="Arial"/>
                <w:color w:val="000000"/>
                <w:sz w:val="22"/>
                <w:szCs w:val="22"/>
              </w:rPr>
              <w:t xml:space="preserve">896 </w:t>
            </w:r>
          </w:p>
        </w:tc>
        <w:tc>
          <w:tcPr>
            <w:tcW w:w="0" w:type="auto"/>
            <w:tcBorders>
              <w:top w:val="nil"/>
              <w:left w:val="nil"/>
              <w:bottom w:val="nil"/>
              <w:right w:val="nil"/>
            </w:tcBorders>
            <w:shd w:val="clear" w:color="auto" w:fill="auto"/>
            <w:hideMark/>
          </w:tcPr>
          <w:p w:rsidR="009E6745" w:rsidRPr="009E6745" w:rsidRDefault="009E6745" w:rsidP="009E6745">
            <w:pPr>
              <w:jc w:val="center"/>
              <w:rPr>
                <w:rFonts w:ascii="Arial" w:hAnsi="Arial" w:cs="Arial"/>
                <w:color w:val="000000"/>
                <w:sz w:val="22"/>
                <w:szCs w:val="22"/>
              </w:rPr>
            </w:pPr>
          </w:p>
        </w:tc>
      </w:tr>
      <w:tr w:rsidR="009E6745" w:rsidRPr="009E6745" w:rsidTr="009E6745">
        <w:trPr>
          <w:trHeight w:val="600"/>
        </w:trPr>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Apr-18</w:t>
            </w:r>
          </w:p>
        </w:tc>
        <w:tc>
          <w:tcPr>
            <w:tcW w:w="0" w:type="auto"/>
            <w:tcBorders>
              <w:top w:val="nil"/>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Agency</w:t>
            </w:r>
          </w:p>
        </w:tc>
        <w:tc>
          <w:tcPr>
            <w:tcW w:w="0" w:type="auto"/>
            <w:tcBorders>
              <w:top w:val="nil"/>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0"/>
                <w:szCs w:val="20"/>
              </w:rPr>
            </w:pPr>
            <w:r w:rsidRPr="009E6745">
              <w:rPr>
                <w:rFonts w:ascii="Arial" w:hAnsi="Arial" w:cs="Arial"/>
                <w:color w:val="000000"/>
                <w:sz w:val="20"/>
                <w:szCs w:val="20"/>
              </w:rPr>
              <w:t xml:space="preserve"> Genesee Valley Ford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2018 Ford Taurus FWD SE</w:t>
            </w:r>
          </w:p>
        </w:tc>
        <w:tc>
          <w:tcPr>
            <w:tcW w:w="0" w:type="auto"/>
            <w:tcBorders>
              <w:top w:val="nil"/>
              <w:left w:val="nil"/>
              <w:bottom w:val="single" w:sz="4" w:space="0" w:color="auto"/>
              <w:right w:val="single" w:sz="4" w:space="0" w:color="auto"/>
            </w:tcBorders>
            <w:shd w:val="clear" w:color="auto" w:fill="auto"/>
            <w:vAlign w:val="center"/>
            <w:hideMark/>
          </w:tcPr>
          <w:p w:rsidR="009E6745" w:rsidRPr="009E6745" w:rsidRDefault="009E6745" w:rsidP="009E6745">
            <w:pPr>
              <w:jc w:val="center"/>
              <w:rPr>
                <w:rFonts w:ascii="Arial" w:hAnsi="Arial" w:cs="Arial"/>
                <w:color w:val="000000"/>
                <w:sz w:val="22"/>
                <w:szCs w:val="22"/>
              </w:rPr>
            </w:pPr>
            <w:r w:rsidRPr="009E6745">
              <w:rPr>
                <w:rFonts w:ascii="Arial" w:hAnsi="Arial" w:cs="Arial"/>
                <w:color w:val="000000"/>
                <w:sz w:val="22"/>
                <w:szCs w:val="22"/>
              </w:rPr>
              <w:t xml:space="preserve"> $21,894 </w:t>
            </w:r>
          </w:p>
        </w:tc>
        <w:tc>
          <w:tcPr>
            <w:tcW w:w="0" w:type="auto"/>
            <w:tcBorders>
              <w:top w:val="nil"/>
              <w:left w:val="nil"/>
              <w:bottom w:val="nil"/>
              <w:right w:val="nil"/>
            </w:tcBorders>
            <w:shd w:val="clear" w:color="auto" w:fill="auto"/>
            <w:hideMark/>
          </w:tcPr>
          <w:p w:rsidR="009E6745" w:rsidRPr="009E6745" w:rsidRDefault="009E6745" w:rsidP="009E6745">
            <w:pPr>
              <w:jc w:val="center"/>
              <w:rPr>
                <w:rFonts w:ascii="Arial" w:hAnsi="Arial" w:cs="Arial"/>
                <w:color w:val="000000"/>
                <w:sz w:val="22"/>
                <w:szCs w:val="22"/>
              </w:rPr>
            </w:pPr>
          </w:p>
        </w:tc>
      </w:tr>
      <w:tr w:rsidR="009E6745" w:rsidRPr="009E6745" w:rsidTr="009E6745">
        <w:trPr>
          <w:trHeight w:val="300"/>
        </w:trPr>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jc w:val="right"/>
              <w:rPr>
                <w:rFonts w:ascii="Arial" w:hAnsi="Arial" w:cs="Arial"/>
                <w:color w:val="000000"/>
                <w:sz w:val="22"/>
                <w:szCs w:val="22"/>
              </w:rPr>
            </w:pPr>
            <w:r w:rsidRPr="009E6745">
              <w:rPr>
                <w:rFonts w:ascii="Arial" w:hAnsi="Arial" w:cs="Arial"/>
                <w:color w:val="000000"/>
                <w:sz w:val="22"/>
                <w:szCs w:val="22"/>
              </w:rPr>
              <w:t>Total</w:t>
            </w:r>
          </w:p>
        </w:tc>
        <w:tc>
          <w:tcPr>
            <w:tcW w:w="0" w:type="auto"/>
            <w:tcBorders>
              <w:top w:val="nil"/>
              <w:left w:val="single" w:sz="4" w:space="0" w:color="auto"/>
              <w:bottom w:val="single" w:sz="4" w:space="0" w:color="auto"/>
              <w:right w:val="single" w:sz="4" w:space="0" w:color="auto"/>
            </w:tcBorders>
            <w:shd w:val="clear" w:color="auto" w:fill="auto"/>
            <w:hideMark/>
          </w:tcPr>
          <w:p w:rsidR="009E6745" w:rsidRPr="009E6745" w:rsidRDefault="009E6745" w:rsidP="009E6745">
            <w:pPr>
              <w:rPr>
                <w:rFonts w:ascii="Arial" w:hAnsi="Arial" w:cs="Arial"/>
                <w:color w:val="000000"/>
                <w:sz w:val="22"/>
                <w:szCs w:val="22"/>
              </w:rPr>
            </w:pPr>
            <w:r w:rsidRPr="009E6745">
              <w:rPr>
                <w:rFonts w:ascii="Arial" w:hAnsi="Arial" w:cs="Arial"/>
                <w:color w:val="000000"/>
                <w:sz w:val="22"/>
                <w:szCs w:val="22"/>
              </w:rPr>
              <w:t xml:space="preserve"> </w:t>
            </w:r>
            <w:r>
              <w:rPr>
                <w:rFonts w:ascii="Arial" w:hAnsi="Arial" w:cs="Arial"/>
                <w:color w:val="000000"/>
                <w:sz w:val="22"/>
                <w:szCs w:val="22"/>
              </w:rPr>
              <w:t xml:space="preserve">      </w:t>
            </w:r>
            <w:r w:rsidRPr="009E6745">
              <w:rPr>
                <w:rFonts w:ascii="Arial" w:hAnsi="Arial" w:cs="Arial"/>
                <w:color w:val="000000"/>
                <w:sz w:val="22"/>
                <w:szCs w:val="22"/>
              </w:rPr>
              <w:t xml:space="preserve">$25,894 </w:t>
            </w:r>
          </w:p>
        </w:tc>
        <w:tc>
          <w:tcPr>
            <w:tcW w:w="0" w:type="auto"/>
            <w:tcBorders>
              <w:top w:val="nil"/>
              <w:left w:val="nil"/>
              <w:bottom w:val="nil"/>
              <w:right w:val="nil"/>
            </w:tcBorders>
            <w:shd w:val="clear" w:color="auto" w:fill="auto"/>
            <w:hideMark/>
          </w:tcPr>
          <w:p w:rsidR="009E6745" w:rsidRPr="009E6745" w:rsidRDefault="009E6745" w:rsidP="009E6745">
            <w:pPr>
              <w:rPr>
                <w:rFonts w:ascii="Arial" w:hAnsi="Arial" w:cs="Arial"/>
                <w:color w:val="000000"/>
                <w:sz w:val="22"/>
                <w:szCs w:val="22"/>
              </w:rPr>
            </w:pPr>
          </w:p>
        </w:tc>
      </w:tr>
      <w:tr w:rsidR="009E6745" w:rsidRPr="009E6745" w:rsidTr="000D1B37">
        <w:trPr>
          <w:trHeight w:val="70"/>
        </w:trPr>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jc w:val="right"/>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r>
      <w:tr w:rsidR="009E6745" w:rsidRPr="009E6745" w:rsidTr="009E6745">
        <w:trPr>
          <w:trHeight w:val="225"/>
        </w:trPr>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hideMark/>
          </w:tcPr>
          <w:p w:rsidR="009E6745" w:rsidRPr="009E6745" w:rsidRDefault="009E6745" w:rsidP="009E6745">
            <w:pPr>
              <w:rPr>
                <w:sz w:val="20"/>
                <w:szCs w:val="20"/>
              </w:rPr>
            </w:pPr>
          </w:p>
        </w:tc>
      </w:tr>
      <w:tr w:rsidR="009E6745" w:rsidRPr="009E6745" w:rsidTr="000D1B37">
        <w:trPr>
          <w:trHeight w:val="126"/>
        </w:trPr>
        <w:tc>
          <w:tcPr>
            <w:tcW w:w="0" w:type="auto"/>
            <w:gridSpan w:val="8"/>
            <w:tcBorders>
              <w:top w:val="nil"/>
              <w:left w:val="nil"/>
              <w:bottom w:val="nil"/>
              <w:right w:val="nil"/>
            </w:tcBorders>
            <w:shd w:val="clear" w:color="auto" w:fill="auto"/>
            <w:hideMark/>
          </w:tcPr>
          <w:p w:rsidR="009E6745" w:rsidRPr="009E6745" w:rsidRDefault="009E6745" w:rsidP="009E6745">
            <w:pPr>
              <w:rPr>
                <w:rFonts w:ascii="Wingdings" w:hAnsi="Wingdings" w:cs="Arial"/>
                <w:color w:val="000000"/>
              </w:rPr>
            </w:pPr>
            <w:r w:rsidRPr="009E6745">
              <w:rPr>
                <w:rFonts w:ascii="Wingdings" w:hAnsi="Wingdings" w:cs="Arial"/>
                <w:color w:val="000000"/>
              </w:rPr>
              <w:t></w:t>
            </w:r>
            <w:r w:rsidRPr="009E6745">
              <w:rPr>
                <w:b/>
                <w:bCs/>
                <w:color w:val="000000"/>
              </w:rPr>
              <w:t xml:space="preserve">Accounts Payable - </w:t>
            </w:r>
            <w:r w:rsidRPr="009E6745">
              <w:rPr>
                <w:rFonts w:ascii="Calibri" w:hAnsi="Calibri" w:cs="Arial"/>
                <w:color w:val="000000"/>
              </w:rPr>
              <w:t xml:space="preserve">At April 30, 2018, accounts payable lability is $19,186 and all AP liability is being paid timely within 28 days except CSP Clinical Services which gets paid once NYS pays CCCHC. </w:t>
            </w:r>
          </w:p>
        </w:tc>
      </w:tr>
      <w:tr w:rsidR="009E6745" w:rsidRPr="009E6745" w:rsidTr="009E6745">
        <w:trPr>
          <w:trHeight w:val="80"/>
        </w:trPr>
        <w:tc>
          <w:tcPr>
            <w:tcW w:w="0" w:type="auto"/>
            <w:tcBorders>
              <w:top w:val="nil"/>
              <w:left w:val="nil"/>
              <w:bottom w:val="nil"/>
              <w:right w:val="nil"/>
            </w:tcBorders>
            <w:shd w:val="clear" w:color="auto" w:fill="auto"/>
            <w:vAlign w:val="center"/>
            <w:hideMark/>
          </w:tcPr>
          <w:p w:rsidR="009E6745" w:rsidRPr="009E6745" w:rsidRDefault="009E6745" w:rsidP="009E6745">
            <w:pPr>
              <w:rPr>
                <w:rFonts w:ascii="Wingdings" w:hAnsi="Wingdings" w:cs="Arial"/>
                <w:color w:val="000000"/>
              </w:rPr>
            </w:pPr>
          </w:p>
        </w:tc>
        <w:tc>
          <w:tcPr>
            <w:tcW w:w="0" w:type="auto"/>
            <w:tcBorders>
              <w:top w:val="nil"/>
              <w:left w:val="nil"/>
              <w:bottom w:val="nil"/>
              <w:right w:val="nil"/>
            </w:tcBorders>
            <w:shd w:val="clear" w:color="auto" w:fill="auto"/>
            <w:vAlign w:val="center"/>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rPr>
                <w:sz w:val="20"/>
                <w:szCs w:val="20"/>
              </w:rPr>
            </w:pPr>
          </w:p>
        </w:tc>
      </w:tr>
      <w:tr w:rsidR="009E6745" w:rsidRPr="009E6745" w:rsidTr="009E6745">
        <w:trPr>
          <w:trHeight w:val="660"/>
        </w:trPr>
        <w:tc>
          <w:tcPr>
            <w:tcW w:w="0" w:type="auto"/>
            <w:gridSpan w:val="8"/>
            <w:tcBorders>
              <w:top w:val="nil"/>
              <w:left w:val="nil"/>
              <w:bottom w:val="nil"/>
              <w:right w:val="nil"/>
            </w:tcBorders>
            <w:shd w:val="clear" w:color="auto" w:fill="auto"/>
            <w:vAlign w:val="bottom"/>
            <w:hideMark/>
          </w:tcPr>
          <w:p w:rsidR="009E6745" w:rsidRPr="009E6745" w:rsidRDefault="009E6745" w:rsidP="009E6745">
            <w:pPr>
              <w:rPr>
                <w:rFonts w:ascii="Wingdings" w:hAnsi="Wingdings" w:cs="Arial"/>
                <w:color w:val="000000"/>
              </w:rPr>
            </w:pPr>
            <w:r w:rsidRPr="009E6745">
              <w:rPr>
                <w:rFonts w:ascii="Wingdings" w:hAnsi="Wingdings" w:cs="Arial"/>
                <w:color w:val="000000"/>
              </w:rPr>
              <w:t></w:t>
            </w:r>
            <w:r w:rsidRPr="009E6745">
              <w:rPr>
                <w:color w:val="000000"/>
              </w:rPr>
              <w:t xml:space="preserve"> </w:t>
            </w:r>
            <w:r w:rsidRPr="009E6745">
              <w:rPr>
                <w:b/>
                <w:bCs/>
                <w:color w:val="000000"/>
              </w:rPr>
              <w:t>Line of Credit</w:t>
            </w:r>
            <w:r w:rsidRPr="009E6745">
              <w:rPr>
                <w:rFonts w:ascii="Calibri" w:hAnsi="Calibri" w:cs="Arial"/>
                <w:color w:val="000000"/>
              </w:rPr>
              <w:t xml:space="preserve"> - Received notification from The Bank of Greene County. Bank renewed our $100,000 line for another twelve months until August 1, 2018. Request recently submitted to renew line for another twelve months.</w:t>
            </w:r>
          </w:p>
        </w:tc>
      </w:tr>
      <w:tr w:rsidR="009E6745" w:rsidRPr="009E6745" w:rsidTr="009E6745">
        <w:trPr>
          <w:trHeight w:val="315"/>
        </w:trPr>
        <w:tc>
          <w:tcPr>
            <w:tcW w:w="0" w:type="auto"/>
            <w:tcBorders>
              <w:top w:val="nil"/>
              <w:left w:val="nil"/>
              <w:bottom w:val="nil"/>
              <w:right w:val="nil"/>
            </w:tcBorders>
            <w:shd w:val="clear" w:color="auto" w:fill="auto"/>
            <w:vAlign w:val="center"/>
            <w:hideMark/>
          </w:tcPr>
          <w:p w:rsidR="009E6745" w:rsidRPr="009E6745" w:rsidRDefault="009E6745" w:rsidP="009E6745">
            <w:pPr>
              <w:rPr>
                <w:rFonts w:ascii="Wingdings" w:hAnsi="Wingdings" w:cs="Arial"/>
                <w:color w:val="000000"/>
              </w:rPr>
            </w:pPr>
          </w:p>
        </w:tc>
        <w:tc>
          <w:tcPr>
            <w:tcW w:w="0" w:type="auto"/>
            <w:tcBorders>
              <w:top w:val="nil"/>
              <w:left w:val="nil"/>
              <w:bottom w:val="nil"/>
              <w:right w:val="nil"/>
            </w:tcBorders>
            <w:shd w:val="clear" w:color="auto" w:fill="auto"/>
            <w:vAlign w:val="center"/>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rPr>
                <w:sz w:val="20"/>
                <w:szCs w:val="20"/>
              </w:rPr>
            </w:pPr>
          </w:p>
        </w:tc>
      </w:tr>
      <w:tr w:rsidR="009E6745" w:rsidRPr="009E6745" w:rsidTr="009E6745">
        <w:trPr>
          <w:trHeight w:val="1950"/>
        </w:trPr>
        <w:tc>
          <w:tcPr>
            <w:tcW w:w="0" w:type="auto"/>
            <w:gridSpan w:val="8"/>
            <w:tcBorders>
              <w:top w:val="nil"/>
              <w:left w:val="nil"/>
              <w:bottom w:val="nil"/>
              <w:right w:val="nil"/>
            </w:tcBorders>
            <w:shd w:val="clear" w:color="auto" w:fill="auto"/>
            <w:hideMark/>
          </w:tcPr>
          <w:p w:rsidR="009E6745" w:rsidRPr="009E6745" w:rsidRDefault="009E6745" w:rsidP="009E6745">
            <w:pPr>
              <w:rPr>
                <w:rFonts w:ascii="Wingdings" w:hAnsi="Wingdings" w:cs="Arial"/>
                <w:color w:val="000000"/>
              </w:rPr>
            </w:pPr>
            <w:r w:rsidRPr="009E6745">
              <w:rPr>
                <w:rFonts w:ascii="Wingdings" w:hAnsi="Wingdings" w:cs="Arial"/>
                <w:color w:val="000000"/>
              </w:rPr>
              <w:t></w:t>
            </w:r>
            <w:r w:rsidRPr="009E6745">
              <w:rPr>
                <w:color w:val="000000"/>
              </w:rPr>
              <w:t xml:space="preserve"> </w:t>
            </w:r>
            <w:r w:rsidRPr="009E6745">
              <w:rPr>
                <w:rFonts w:ascii="Calibri" w:hAnsi="Calibri" w:cs="Arial"/>
                <w:b/>
                <w:bCs/>
                <w:color w:val="000000"/>
              </w:rPr>
              <w:t>Advance Funding Payable</w:t>
            </w:r>
            <w:r w:rsidRPr="009E6745">
              <w:rPr>
                <w:rFonts w:ascii="Calibri" w:hAnsi="Calibri" w:cs="Arial"/>
                <w:color w:val="000000"/>
              </w:rPr>
              <w:t xml:space="preserve"> -  When the Agency receives a deposit for work to be done in the future, it recognizes it by debiting (increasing) cash and crediting (increasing) a deferred revenue account or "Advance Funding Payable"(a liability account). This transaction doesn't affect the income statement -- the deferred revenue is not really a revenue per se. The deferred account functions like a holding place, until services are provided. The entire transaction affects only balance sheet accounts. Once the service is provided, a "real" revenue is recognized with an entry that debits (decreases) the deferred account and credits (increases) the revenue account. Program income received in advance consist of the following as of April 30, 2018,</w:t>
            </w:r>
          </w:p>
        </w:tc>
      </w:tr>
      <w:tr w:rsidR="009E6745" w:rsidRPr="009E6745" w:rsidTr="000D1B37">
        <w:trPr>
          <w:trHeight w:val="20"/>
        </w:trPr>
        <w:tc>
          <w:tcPr>
            <w:tcW w:w="0" w:type="auto"/>
            <w:tcBorders>
              <w:top w:val="nil"/>
              <w:left w:val="nil"/>
              <w:bottom w:val="nil"/>
              <w:right w:val="nil"/>
            </w:tcBorders>
            <w:shd w:val="clear" w:color="auto" w:fill="auto"/>
            <w:vAlign w:val="center"/>
            <w:hideMark/>
          </w:tcPr>
          <w:p w:rsidR="009E6745" w:rsidRPr="009E6745" w:rsidRDefault="009E6745" w:rsidP="009E6745">
            <w:pPr>
              <w:rPr>
                <w:rFonts w:ascii="Wingdings" w:hAnsi="Wingdings" w:cs="Arial"/>
                <w:color w:val="00000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jc w:val="center"/>
              <w:rPr>
                <w:b/>
                <w:bCs/>
                <w:color w:val="000000"/>
              </w:rPr>
            </w:pPr>
            <w:r w:rsidRPr="009E6745">
              <w:rPr>
                <w:b/>
                <w:bCs/>
                <w:color w:val="000000"/>
              </w:rPr>
              <w:t>Fund Name</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b/>
                <w:bCs/>
                <w:color w:val="000000"/>
              </w:rPr>
            </w:pPr>
            <w:r w:rsidRPr="009E6745">
              <w:rPr>
                <w:b/>
                <w:bCs/>
                <w:color w:val="000000"/>
              </w:rPr>
              <w:t xml:space="preserve">Beginning Balance at January 1st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b/>
                <w:bCs/>
                <w:color w:val="000000"/>
              </w:rPr>
            </w:pPr>
            <w:r w:rsidRPr="009E6745">
              <w:rPr>
                <w:b/>
                <w:bCs/>
                <w:color w:val="000000"/>
              </w:rPr>
              <w:t>+ Contributions</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b/>
                <w:bCs/>
                <w:color w:val="000000"/>
              </w:rPr>
            </w:pPr>
            <w:r w:rsidRPr="009E6745">
              <w:rPr>
                <w:b/>
                <w:bCs/>
                <w:color w:val="000000"/>
              </w:rPr>
              <w:t>&lt;Distributions&gt;</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b/>
                <w:bCs/>
                <w:color w:val="000000"/>
              </w:rPr>
            </w:pPr>
            <w:r w:rsidRPr="009E6745">
              <w:rPr>
                <w:b/>
                <w:bCs/>
                <w:color w:val="000000"/>
              </w:rPr>
              <w:t>Ending Balance at April 30, 2018</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b/>
                <w:bCs/>
                <w:color w:val="000000"/>
              </w:rPr>
            </w:pPr>
          </w:p>
        </w:tc>
      </w:tr>
      <w:tr w:rsidR="009E6745" w:rsidRPr="009E6745" w:rsidTr="000D1B37">
        <w:trPr>
          <w:trHeight w:val="20"/>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3"/>
            <w:tcBorders>
              <w:top w:val="nil"/>
              <w:left w:val="nil"/>
              <w:bottom w:val="nil"/>
              <w:right w:val="nil"/>
            </w:tcBorders>
            <w:shd w:val="clear" w:color="auto" w:fill="auto"/>
            <w:vAlign w:val="center"/>
            <w:hideMark/>
          </w:tcPr>
          <w:p w:rsidR="009E6745" w:rsidRPr="009E6745" w:rsidRDefault="009E6745" w:rsidP="009E6745">
            <w:pPr>
              <w:rPr>
                <w:b/>
                <w:bCs/>
                <w:color w:val="000000"/>
              </w:rPr>
            </w:pPr>
            <w:r w:rsidRPr="009E6745">
              <w:rPr>
                <w:b/>
                <w:bCs/>
                <w:color w:val="000000"/>
              </w:rPr>
              <w:t>Foundation for Community Health</w:t>
            </w:r>
          </w:p>
        </w:tc>
        <w:tc>
          <w:tcPr>
            <w:tcW w:w="0" w:type="auto"/>
            <w:tcBorders>
              <w:top w:val="nil"/>
              <w:left w:val="nil"/>
              <w:bottom w:val="nil"/>
              <w:right w:val="nil"/>
            </w:tcBorders>
            <w:shd w:val="clear" w:color="auto" w:fill="auto"/>
            <w:vAlign w:val="center"/>
            <w:hideMark/>
          </w:tcPr>
          <w:p w:rsidR="009E6745" w:rsidRPr="009E6745" w:rsidRDefault="009E6745" w:rsidP="009E6745">
            <w:pPr>
              <w:rPr>
                <w:b/>
                <w:bCs/>
                <w:color w:val="00000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r>
      <w:tr w:rsidR="009E6745" w:rsidRPr="009E6745" w:rsidTr="000D1B37">
        <w:trPr>
          <w:trHeight w:val="20"/>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ind w:firstLineChars="200" w:firstLine="480"/>
              <w:rPr>
                <w:color w:val="000000"/>
              </w:rPr>
            </w:pPr>
            <w:r w:rsidRPr="009E6745">
              <w:rPr>
                <w:color w:val="000000"/>
              </w:rPr>
              <w:t>Prescription Access</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8,728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(860)</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7,868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r w:rsidR="009E6745" w:rsidRPr="009E6745" w:rsidTr="000D1B37">
        <w:trPr>
          <w:trHeight w:val="20"/>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ind w:firstLineChars="200" w:firstLine="480"/>
              <w:rPr>
                <w:color w:val="000000"/>
              </w:rPr>
            </w:pPr>
            <w:r w:rsidRPr="009E6745">
              <w:rPr>
                <w:color w:val="000000"/>
              </w:rPr>
              <w:t>Transportation</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25,000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(8,231)</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16,769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r w:rsidR="009E6745" w:rsidRPr="009E6745" w:rsidTr="000D1B37">
        <w:trPr>
          <w:trHeight w:val="20"/>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rPr>
                <w:b/>
                <w:bCs/>
                <w:color w:val="000000"/>
              </w:rPr>
            </w:pPr>
            <w:r w:rsidRPr="009E6745">
              <w:rPr>
                <w:b/>
                <w:bCs/>
                <w:color w:val="000000"/>
              </w:rPr>
              <w:t>Dyson Foundation</w:t>
            </w:r>
          </w:p>
        </w:tc>
        <w:tc>
          <w:tcPr>
            <w:tcW w:w="0" w:type="auto"/>
            <w:tcBorders>
              <w:top w:val="nil"/>
              <w:left w:val="nil"/>
              <w:bottom w:val="nil"/>
              <w:right w:val="nil"/>
            </w:tcBorders>
            <w:shd w:val="clear" w:color="auto" w:fill="auto"/>
            <w:vAlign w:val="center"/>
            <w:hideMark/>
          </w:tcPr>
          <w:p w:rsidR="009E6745" w:rsidRPr="009E6745" w:rsidRDefault="009E6745" w:rsidP="009E6745">
            <w:pPr>
              <w:rPr>
                <w:b/>
                <w:bCs/>
                <w:color w:val="00000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r>
      <w:tr w:rsidR="009E6745" w:rsidRPr="009E6745" w:rsidTr="000D1B37">
        <w:trPr>
          <w:trHeight w:val="20"/>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0D1B37">
            <w:pPr>
              <w:ind w:firstLineChars="200" w:firstLine="480"/>
              <w:rPr>
                <w:color w:val="000000"/>
              </w:rPr>
            </w:pPr>
            <w:r w:rsidRPr="009E6745">
              <w:rPr>
                <w:color w:val="000000"/>
              </w:rPr>
              <w:t>Prescription Access</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4,081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18,000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(5,713)</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16,368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r w:rsidR="009E6745" w:rsidRPr="009E6745" w:rsidTr="000D1B37">
        <w:trPr>
          <w:trHeight w:val="20"/>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rPr>
                <w:b/>
                <w:bCs/>
                <w:color w:val="000000"/>
              </w:rPr>
            </w:pPr>
            <w:r w:rsidRPr="009E6745">
              <w:rPr>
                <w:b/>
                <w:bCs/>
                <w:color w:val="000000"/>
              </w:rPr>
              <w:t>NYS Grant Advances</w:t>
            </w:r>
          </w:p>
        </w:tc>
        <w:tc>
          <w:tcPr>
            <w:tcW w:w="0" w:type="auto"/>
            <w:tcBorders>
              <w:top w:val="nil"/>
              <w:left w:val="nil"/>
              <w:bottom w:val="nil"/>
              <w:right w:val="nil"/>
            </w:tcBorders>
            <w:shd w:val="clear" w:color="auto" w:fill="auto"/>
            <w:vAlign w:val="center"/>
            <w:hideMark/>
          </w:tcPr>
          <w:p w:rsidR="009E6745" w:rsidRPr="009E6745" w:rsidRDefault="009E6745" w:rsidP="009E6745">
            <w:pPr>
              <w:rPr>
                <w:b/>
                <w:bCs/>
                <w:color w:val="00000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r>
      <w:tr w:rsidR="009E6745" w:rsidRPr="009E6745" w:rsidTr="000D1B37">
        <w:trPr>
          <w:trHeight w:val="20"/>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0D1B37" w:rsidP="009E6745">
            <w:pPr>
              <w:ind w:firstLineChars="200" w:firstLine="480"/>
              <w:rPr>
                <w:color w:val="000000"/>
              </w:rPr>
            </w:pPr>
            <w:r>
              <w:rPr>
                <w:color w:val="000000"/>
              </w:rPr>
              <w:t>CSP</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2,878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(2,878)</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r w:rsidR="009E6745" w:rsidRPr="009E6745" w:rsidTr="000D1B37">
        <w:trPr>
          <w:trHeight w:val="20"/>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0D1B37">
            <w:pPr>
              <w:ind w:firstLineChars="200" w:firstLine="480"/>
              <w:rPr>
                <w:color w:val="000000"/>
              </w:rPr>
            </w:pPr>
            <w:r w:rsidRPr="009E6745">
              <w:rPr>
                <w:color w:val="000000"/>
              </w:rPr>
              <w:t xml:space="preserve">Tobacco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38,365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(38,365)</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r w:rsidR="009E6745" w:rsidRPr="009E6745" w:rsidTr="000D1B37">
        <w:trPr>
          <w:trHeight w:val="20"/>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r>
      <w:tr w:rsidR="009E6745" w:rsidRPr="009E6745" w:rsidTr="000D1B37">
        <w:trPr>
          <w:trHeight w:val="20"/>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jc w:val="right"/>
              <w:rPr>
                <w:b/>
                <w:bCs/>
                <w:color w:val="000000"/>
              </w:rPr>
            </w:pPr>
            <w:r w:rsidRPr="009E6745">
              <w:rPr>
                <w:b/>
                <w:bCs/>
                <w:color w:val="000000"/>
              </w:rPr>
              <w:t>Total Advance Funding Payable</w:t>
            </w:r>
          </w:p>
        </w:tc>
        <w:tc>
          <w:tcPr>
            <w:tcW w:w="0" w:type="auto"/>
            <w:tcBorders>
              <w:top w:val="single" w:sz="4" w:space="0" w:color="auto"/>
              <w:left w:val="nil"/>
              <w:bottom w:val="double" w:sz="6" w:space="0" w:color="auto"/>
              <w:right w:val="nil"/>
            </w:tcBorders>
            <w:shd w:val="clear" w:color="auto" w:fill="auto"/>
            <w:vAlign w:val="center"/>
            <w:hideMark/>
          </w:tcPr>
          <w:p w:rsidR="009E6745" w:rsidRPr="009E6745" w:rsidRDefault="009E6745" w:rsidP="000D1B37">
            <w:pPr>
              <w:jc w:val="center"/>
              <w:rPr>
                <w:color w:val="000000"/>
              </w:rPr>
            </w:pPr>
            <w:r w:rsidRPr="009E6745">
              <w:rPr>
                <w:color w:val="000000"/>
              </w:rPr>
              <w:t xml:space="preserve"> $     80,798 </w:t>
            </w:r>
          </w:p>
        </w:tc>
        <w:tc>
          <w:tcPr>
            <w:tcW w:w="0" w:type="auto"/>
            <w:tcBorders>
              <w:top w:val="single" w:sz="4" w:space="0" w:color="auto"/>
              <w:left w:val="nil"/>
              <w:bottom w:val="double" w:sz="6" w:space="0" w:color="auto"/>
              <w:right w:val="nil"/>
            </w:tcBorders>
            <w:shd w:val="clear" w:color="auto" w:fill="auto"/>
            <w:vAlign w:val="center"/>
            <w:hideMark/>
          </w:tcPr>
          <w:p w:rsidR="009E6745" w:rsidRPr="009E6745" w:rsidRDefault="009E6745" w:rsidP="000D1B37">
            <w:pPr>
              <w:jc w:val="center"/>
              <w:rPr>
                <w:color w:val="000000"/>
              </w:rPr>
            </w:pPr>
            <w:r w:rsidRPr="009E6745">
              <w:rPr>
                <w:color w:val="000000"/>
              </w:rPr>
              <w:t xml:space="preserve"> $  18,000 </w:t>
            </w:r>
          </w:p>
        </w:tc>
        <w:tc>
          <w:tcPr>
            <w:tcW w:w="0" w:type="auto"/>
            <w:tcBorders>
              <w:top w:val="single" w:sz="4" w:space="0" w:color="auto"/>
              <w:left w:val="nil"/>
              <w:bottom w:val="double" w:sz="6" w:space="0" w:color="auto"/>
              <w:right w:val="nil"/>
            </w:tcBorders>
            <w:shd w:val="clear" w:color="auto" w:fill="auto"/>
            <w:vAlign w:val="center"/>
            <w:hideMark/>
          </w:tcPr>
          <w:p w:rsidR="009E6745" w:rsidRPr="009E6745" w:rsidRDefault="009E6745" w:rsidP="000D1B37">
            <w:pPr>
              <w:jc w:val="center"/>
              <w:rPr>
                <w:color w:val="000000"/>
              </w:rPr>
            </w:pPr>
            <w:r w:rsidRPr="009E6745">
              <w:rPr>
                <w:color w:val="000000"/>
              </w:rPr>
              <w:t xml:space="preserve"> $   (57,792)</w:t>
            </w:r>
          </w:p>
        </w:tc>
        <w:tc>
          <w:tcPr>
            <w:tcW w:w="0" w:type="auto"/>
            <w:tcBorders>
              <w:top w:val="single" w:sz="4" w:space="0" w:color="auto"/>
              <w:left w:val="nil"/>
              <w:bottom w:val="double" w:sz="6" w:space="0" w:color="auto"/>
              <w:right w:val="nil"/>
            </w:tcBorders>
            <w:shd w:val="clear" w:color="auto" w:fill="auto"/>
            <w:vAlign w:val="center"/>
            <w:hideMark/>
          </w:tcPr>
          <w:p w:rsidR="009E6745" w:rsidRPr="009E6745" w:rsidRDefault="009E6745" w:rsidP="000D1B37">
            <w:pPr>
              <w:jc w:val="center"/>
              <w:rPr>
                <w:color w:val="000000"/>
              </w:rPr>
            </w:pPr>
            <w:r w:rsidRPr="009E6745">
              <w:rPr>
                <w:color w:val="000000"/>
              </w:rPr>
              <w:t xml:space="preserve"> $   41,005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r w:rsidR="009E6745" w:rsidRPr="009E6745" w:rsidTr="009E6745">
        <w:trPr>
          <w:trHeight w:val="225"/>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right"/>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right"/>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r>
      <w:tr w:rsidR="009E6745" w:rsidRPr="009E6745" w:rsidTr="009E6745">
        <w:trPr>
          <w:trHeight w:val="1350"/>
        </w:trPr>
        <w:tc>
          <w:tcPr>
            <w:tcW w:w="0" w:type="auto"/>
            <w:gridSpan w:val="8"/>
            <w:tcBorders>
              <w:top w:val="nil"/>
              <w:left w:val="nil"/>
              <w:bottom w:val="nil"/>
              <w:right w:val="nil"/>
            </w:tcBorders>
            <w:shd w:val="clear" w:color="auto" w:fill="auto"/>
            <w:hideMark/>
          </w:tcPr>
          <w:p w:rsidR="009E6745" w:rsidRPr="009E6745" w:rsidRDefault="009E6745" w:rsidP="009E6745">
            <w:pPr>
              <w:rPr>
                <w:rFonts w:ascii="Wingdings" w:hAnsi="Wingdings" w:cs="Arial"/>
                <w:color w:val="000000"/>
              </w:rPr>
            </w:pPr>
            <w:r w:rsidRPr="009E6745">
              <w:rPr>
                <w:rFonts w:ascii="Wingdings" w:hAnsi="Wingdings" w:cs="Arial"/>
                <w:color w:val="000000"/>
              </w:rPr>
              <w:lastRenderedPageBreak/>
              <w:t></w:t>
            </w:r>
            <w:r w:rsidRPr="009E6745">
              <w:rPr>
                <w:color w:val="000000"/>
              </w:rPr>
              <w:t xml:space="preserve"> </w:t>
            </w:r>
            <w:r w:rsidRPr="009E6745">
              <w:rPr>
                <w:rFonts w:ascii="Calibri" w:hAnsi="Calibri" w:cs="Arial"/>
                <w:b/>
                <w:bCs/>
                <w:color w:val="000000"/>
              </w:rPr>
              <w:t>Temporary Restricted Funds</w:t>
            </w:r>
            <w:r w:rsidRPr="009E6745">
              <w:rPr>
                <w:rFonts w:ascii="Calibri" w:hAnsi="Calibri" w:cs="Arial"/>
                <w:color w:val="000000"/>
              </w:rPr>
              <w:t xml:space="preserve"> - Temporarily restricted net assets are donated contributions that have only a one-sided economic benefit and are restricted to a specific period of time or set of conditions. To decrease this revenue employ another account named Net Assets Released From Restrictions, which reports revenue.  Below temporarily restricted net assets represents donations to be used for the following specific program purpose as of April 30, 2018: </w:t>
            </w:r>
          </w:p>
        </w:tc>
      </w:tr>
      <w:tr w:rsidR="009E6745" w:rsidRPr="009E6745" w:rsidTr="009E6745">
        <w:trPr>
          <w:trHeight w:val="945"/>
        </w:trPr>
        <w:tc>
          <w:tcPr>
            <w:tcW w:w="0" w:type="auto"/>
            <w:tcBorders>
              <w:top w:val="nil"/>
              <w:left w:val="nil"/>
              <w:bottom w:val="nil"/>
              <w:right w:val="nil"/>
            </w:tcBorders>
            <w:shd w:val="clear" w:color="auto" w:fill="auto"/>
            <w:vAlign w:val="center"/>
            <w:hideMark/>
          </w:tcPr>
          <w:p w:rsidR="009E6745" w:rsidRPr="009E6745" w:rsidRDefault="009E6745" w:rsidP="009E6745">
            <w:pPr>
              <w:rPr>
                <w:rFonts w:ascii="Wingdings" w:hAnsi="Wingdings" w:cs="Arial"/>
                <w:color w:val="00000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jc w:val="center"/>
              <w:rPr>
                <w:b/>
                <w:bCs/>
                <w:color w:val="000000"/>
              </w:rPr>
            </w:pPr>
            <w:r w:rsidRPr="009E6745">
              <w:rPr>
                <w:b/>
                <w:bCs/>
                <w:color w:val="000000"/>
              </w:rPr>
              <w:t>Fund Name</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b/>
                <w:bCs/>
                <w:color w:val="000000"/>
              </w:rPr>
            </w:pPr>
            <w:r w:rsidRPr="009E6745">
              <w:rPr>
                <w:b/>
                <w:bCs/>
                <w:color w:val="000000"/>
              </w:rPr>
              <w:t xml:space="preserve">Beginning Balance at January 1st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b/>
                <w:bCs/>
                <w:color w:val="000000"/>
              </w:rPr>
            </w:pPr>
            <w:r w:rsidRPr="009E6745">
              <w:rPr>
                <w:b/>
                <w:bCs/>
                <w:color w:val="000000"/>
              </w:rPr>
              <w:t>+ Contributions</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b/>
                <w:bCs/>
                <w:color w:val="000000"/>
              </w:rPr>
            </w:pPr>
            <w:r w:rsidRPr="009E6745">
              <w:rPr>
                <w:b/>
                <w:bCs/>
                <w:color w:val="000000"/>
              </w:rPr>
              <w:t>&lt;Distributions&gt;</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b/>
                <w:bCs/>
                <w:color w:val="000000"/>
              </w:rPr>
            </w:pPr>
            <w:r w:rsidRPr="009E6745">
              <w:rPr>
                <w:b/>
                <w:bCs/>
                <w:color w:val="000000"/>
              </w:rPr>
              <w:t>Ending Balance at April 30, 2018</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b/>
                <w:bCs/>
                <w:color w:val="000000"/>
              </w:rPr>
            </w:pPr>
          </w:p>
        </w:tc>
      </w:tr>
      <w:tr w:rsidR="009E6745" w:rsidRPr="009E6745" w:rsidTr="009E6745">
        <w:trPr>
          <w:trHeight w:val="315"/>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rPr>
                <w:color w:val="000000"/>
              </w:rPr>
            </w:pPr>
            <w:r w:rsidRPr="009E6745">
              <w:rPr>
                <w:color w:val="000000"/>
              </w:rPr>
              <w:t>Columbia County</w:t>
            </w:r>
            <w:r w:rsidRPr="009E6745">
              <w:rPr>
                <w:color w:val="000000"/>
                <w:sz w:val="22"/>
                <w:szCs w:val="22"/>
              </w:rPr>
              <w:t xml:space="preserve"> -</w:t>
            </w:r>
            <w:r w:rsidRPr="009E6745">
              <w:rPr>
                <w:color w:val="000000"/>
                <w:sz w:val="18"/>
                <w:szCs w:val="18"/>
              </w:rPr>
              <w:t>CARTS &amp; Receptionist</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50,000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(16,667)</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33,333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r w:rsidR="009E6745" w:rsidRPr="009E6745" w:rsidTr="009E6745">
        <w:trPr>
          <w:trHeight w:val="315"/>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rPr>
                <w:color w:val="000000"/>
              </w:rPr>
            </w:pPr>
            <w:r w:rsidRPr="009E6745">
              <w:rPr>
                <w:color w:val="000000"/>
              </w:rPr>
              <w:t>Columbia County Depts.-CARTS</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19,000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(6,333)</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12,667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r w:rsidR="009E6745" w:rsidRPr="009E6745" w:rsidTr="009E6745">
        <w:trPr>
          <w:trHeight w:val="315"/>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rPr>
                <w:color w:val="000000"/>
              </w:rPr>
            </w:pPr>
            <w:r w:rsidRPr="009E6745">
              <w:rPr>
                <w:color w:val="000000"/>
              </w:rPr>
              <w:t>Columbia County Cancer Fund</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22,810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250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(3,003)</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20,057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r w:rsidR="009E6745" w:rsidRPr="009E6745" w:rsidTr="009E6745">
        <w:trPr>
          <w:trHeight w:val="315"/>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rPr>
                <w:color w:val="000000"/>
              </w:rPr>
            </w:pPr>
            <w:r w:rsidRPr="009E6745">
              <w:rPr>
                <w:color w:val="000000"/>
              </w:rPr>
              <w:t>Greene County Cancer Fund</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9,543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1,040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(1,038)</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9,545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r w:rsidR="009E6745" w:rsidRPr="009E6745" w:rsidTr="009E6745">
        <w:trPr>
          <w:trHeight w:val="315"/>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rPr>
                <w:color w:val="000000"/>
              </w:rPr>
            </w:pPr>
            <w:r w:rsidRPr="009E6745">
              <w:rPr>
                <w:color w:val="000000"/>
              </w:rPr>
              <w:t>Complementary Therapies Fund</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5,385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(580)</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4,805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r w:rsidR="009E6745" w:rsidRPr="009E6745" w:rsidTr="009E6745">
        <w:trPr>
          <w:trHeight w:val="315"/>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rPr>
                <w:color w:val="000000"/>
              </w:rPr>
            </w:pPr>
            <w:r w:rsidRPr="009E6745">
              <w:rPr>
                <w:color w:val="000000"/>
              </w:rPr>
              <w:t>Jan Koweek Fund</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1,101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1,101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r w:rsidR="009E6745" w:rsidRPr="009E6745" w:rsidTr="009E6745">
        <w:trPr>
          <w:trHeight w:val="315"/>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r w:rsidRPr="009E6745">
              <w:rPr>
                <w:color w:val="000000"/>
              </w:rPr>
              <w:t xml:space="preserve">                            -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r w:rsidR="009E6745" w:rsidRPr="009E6745" w:rsidTr="009E6745">
        <w:trPr>
          <w:trHeight w:val="315"/>
        </w:trPr>
        <w:tc>
          <w:tcPr>
            <w:tcW w:w="0" w:type="auto"/>
            <w:tcBorders>
              <w:top w:val="nil"/>
              <w:left w:val="nil"/>
              <w:bottom w:val="nil"/>
              <w:right w:val="nil"/>
            </w:tcBorders>
            <w:shd w:val="clear" w:color="auto" w:fill="auto"/>
            <w:vAlign w:val="center"/>
            <w:hideMark/>
          </w:tcPr>
          <w:p w:rsidR="009E6745" w:rsidRPr="009E6745" w:rsidRDefault="009E6745" w:rsidP="009E6745">
            <w:pPr>
              <w:jc w:val="center"/>
              <w:rPr>
                <w:sz w:val="20"/>
                <w:szCs w:val="20"/>
              </w:rPr>
            </w:pPr>
          </w:p>
        </w:tc>
        <w:tc>
          <w:tcPr>
            <w:tcW w:w="0" w:type="auto"/>
            <w:gridSpan w:val="2"/>
            <w:tcBorders>
              <w:top w:val="nil"/>
              <w:left w:val="nil"/>
              <w:bottom w:val="nil"/>
              <w:right w:val="nil"/>
            </w:tcBorders>
            <w:shd w:val="clear" w:color="auto" w:fill="auto"/>
            <w:vAlign w:val="center"/>
            <w:hideMark/>
          </w:tcPr>
          <w:p w:rsidR="009E6745" w:rsidRPr="009E6745" w:rsidRDefault="009E6745" w:rsidP="009E6745">
            <w:pPr>
              <w:jc w:val="right"/>
              <w:rPr>
                <w:color w:val="000000"/>
              </w:rPr>
            </w:pPr>
            <w:r w:rsidRPr="009E6745">
              <w:rPr>
                <w:color w:val="000000"/>
              </w:rPr>
              <w:t>Totals of Temporary Restricted Funds</w:t>
            </w:r>
          </w:p>
        </w:tc>
        <w:tc>
          <w:tcPr>
            <w:tcW w:w="0" w:type="auto"/>
            <w:tcBorders>
              <w:top w:val="single" w:sz="4" w:space="0" w:color="auto"/>
              <w:left w:val="nil"/>
              <w:bottom w:val="double" w:sz="6" w:space="0" w:color="auto"/>
              <w:right w:val="nil"/>
            </w:tcBorders>
            <w:shd w:val="clear" w:color="auto" w:fill="auto"/>
            <w:vAlign w:val="center"/>
            <w:hideMark/>
          </w:tcPr>
          <w:p w:rsidR="009E6745" w:rsidRPr="009E6745" w:rsidRDefault="009E6745" w:rsidP="000D1B37">
            <w:pPr>
              <w:jc w:val="center"/>
              <w:rPr>
                <w:color w:val="000000"/>
              </w:rPr>
            </w:pPr>
            <w:r w:rsidRPr="009E6745">
              <w:rPr>
                <w:color w:val="000000"/>
              </w:rPr>
              <w:t xml:space="preserve"> $     38,839 </w:t>
            </w:r>
          </w:p>
        </w:tc>
        <w:tc>
          <w:tcPr>
            <w:tcW w:w="0" w:type="auto"/>
            <w:tcBorders>
              <w:top w:val="single" w:sz="4" w:space="0" w:color="auto"/>
              <w:left w:val="nil"/>
              <w:bottom w:val="double" w:sz="6" w:space="0" w:color="auto"/>
              <w:right w:val="nil"/>
            </w:tcBorders>
            <w:shd w:val="clear" w:color="auto" w:fill="auto"/>
            <w:vAlign w:val="center"/>
            <w:hideMark/>
          </w:tcPr>
          <w:p w:rsidR="009E6745" w:rsidRPr="009E6745" w:rsidRDefault="009E6745" w:rsidP="000D1B37">
            <w:pPr>
              <w:jc w:val="center"/>
              <w:rPr>
                <w:color w:val="000000"/>
              </w:rPr>
            </w:pPr>
            <w:r w:rsidRPr="009E6745">
              <w:rPr>
                <w:color w:val="000000"/>
              </w:rPr>
              <w:t xml:space="preserve"> $     70,290 </w:t>
            </w:r>
          </w:p>
        </w:tc>
        <w:tc>
          <w:tcPr>
            <w:tcW w:w="0" w:type="auto"/>
            <w:tcBorders>
              <w:top w:val="single" w:sz="4" w:space="0" w:color="auto"/>
              <w:left w:val="nil"/>
              <w:bottom w:val="double" w:sz="6" w:space="0" w:color="auto"/>
              <w:right w:val="nil"/>
            </w:tcBorders>
            <w:shd w:val="clear" w:color="auto" w:fill="auto"/>
            <w:vAlign w:val="center"/>
            <w:hideMark/>
          </w:tcPr>
          <w:p w:rsidR="009E6745" w:rsidRPr="009E6745" w:rsidRDefault="009E6745" w:rsidP="000D1B37">
            <w:pPr>
              <w:jc w:val="center"/>
              <w:rPr>
                <w:color w:val="000000"/>
              </w:rPr>
            </w:pPr>
            <w:r w:rsidRPr="009E6745">
              <w:rPr>
                <w:color w:val="000000"/>
              </w:rPr>
              <w:t xml:space="preserve"> $ (27,621)</w:t>
            </w:r>
          </w:p>
        </w:tc>
        <w:tc>
          <w:tcPr>
            <w:tcW w:w="0" w:type="auto"/>
            <w:tcBorders>
              <w:top w:val="single" w:sz="4" w:space="0" w:color="auto"/>
              <w:left w:val="nil"/>
              <w:bottom w:val="double" w:sz="6" w:space="0" w:color="auto"/>
              <w:right w:val="nil"/>
            </w:tcBorders>
            <w:shd w:val="clear" w:color="auto" w:fill="auto"/>
            <w:vAlign w:val="center"/>
            <w:hideMark/>
          </w:tcPr>
          <w:p w:rsidR="009E6745" w:rsidRPr="009E6745" w:rsidRDefault="009E6745" w:rsidP="000D1B37">
            <w:pPr>
              <w:jc w:val="center"/>
              <w:rPr>
                <w:color w:val="000000"/>
              </w:rPr>
            </w:pPr>
            <w:r w:rsidRPr="009E6745">
              <w:rPr>
                <w:color w:val="000000"/>
              </w:rPr>
              <w:t xml:space="preserve"> $       81,508 </w:t>
            </w:r>
          </w:p>
        </w:tc>
        <w:tc>
          <w:tcPr>
            <w:tcW w:w="0" w:type="auto"/>
            <w:tcBorders>
              <w:top w:val="nil"/>
              <w:left w:val="nil"/>
              <w:bottom w:val="nil"/>
              <w:right w:val="nil"/>
            </w:tcBorders>
            <w:shd w:val="clear" w:color="auto" w:fill="auto"/>
            <w:vAlign w:val="center"/>
            <w:hideMark/>
          </w:tcPr>
          <w:p w:rsidR="009E6745" w:rsidRPr="009E6745" w:rsidRDefault="009E6745" w:rsidP="009E6745">
            <w:pPr>
              <w:jc w:val="center"/>
              <w:rPr>
                <w:color w:val="000000"/>
              </w:rPr>
            </w:pPr>
          </w:p>
        </w:tc>
      </w:tr>
    </w:tbl>
    <w:p w:rsidR="00385B16" w:rsidRPr="00990131" w:rsidRDefault="00385B16" w:rsidP="009E5527"/>
    <w:sectPr w:rsidR="00385B16" w:rsidRPr="00990131" w:rsidSect="00151D8B">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9"/>
  </w:num>
  <w:num w:numId="6">
    <w:abstractNumId w:val="11"/>
  </w:num>
  <w:num w:numId="7">
    <w:abstractNumId w:val="7"/>
  </w:num>
  <w:num w:numId="8">
    <w:abstractNumId w:val="6"/>
  </w:num>
  <w:num w:numId="9">
    <w:abstractNumId w:val="18"/>
  </w:num>
  <w:num w:numId="10">
    <w:abstractNumId w:val="13"/>
  </w:num>
  <w:num w:numId="11">
    <w:abstractNumId w:val="12"/>
  </w:num>
  <w:num w:numId="12">
    <w:abstractNumId w:val="17"/>
  </w:num>
  <w:num w:numId="13">
    <w:abstractNumId w:val="16"/>
  </w:num>
  <w:num w:numId="14">
    <w:abstractNumId w:val="14"/>
  </w:num>
  <w:num w:numId="15">
    <w:abstractNumId w:val="3"/>
  </w:num>
  <w:num w:numId="16">
    <w:abstractNumId w:val="1"/>
  </w:num>
  <w:num w:numId="17">
    <w:abstractNumId w:val="8"/>
  </w:num>
  <w:num w:numId="18">
    <w:abstractNumId w:val="1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536C"/>
    <w:rsid w:val="00026EB6"/>
    <w:rsid w:val="00037A04"/>
    <w:rsid w:val="00062538"/>
    <w:rsid w:val="00064B5F"/>
    <w:rsid w:val="00071F28"/>
    <w:rsid w:val="00081710"/>
    <w:rsid w:val="0009460C"/>
    <w:rsid w:val="000963AD"/>
    <w:rsid w:val="00097F59"/>
    <w:rsid w:val="000A2D35"/>
    <w:rsid w:val="000B6DD7"/>
    <w:rsid w:val="000C2104"/>
    <w:rsid w:val="000D1B37"/>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7C27"/>
    <w:rsid w:val="00252DCF"/>
    <w:rsid w:val="002901B2"/>
    <w:rsid w:val="002A5029"/>
    <w:rsid w:val="002A5131"/>
    <w:rsid w:val="002B263C"/>
    <w:rsid w:val="002B6DEC"/>
    <w:rsid w:val="002B78E6"/>
    <w:rsid w:val="002C083B"/>
    <w:rsid w:val="002C0B80"/>
    <w:rsid w:val="002C2381"/>
    <w:rsid w:val="002C4573"/>
    <w:rsid w:val="002E2F64"/>
    <w:rsid w:val="0030688B"/>
    <w:rsid w:val="00342789"/>
    <w:rsid w:val="00350A8C"/>
    <w:rsid w:val="00352709"/>
    <w:rsid w:val="003624D1"/>
    <w:rsid w:val="00385B16"/>
    <w:rsid w:val="003918B4"/>
    <w:rsid w:val="003F79C4"/>
    <w:rsid w:val="00412DDD"/>
    <w:rsid w:val="00413C58"/>
    <w:rsid w:val="004159EC"/>
    <w:rsid w:val="00421F8B"/>
    <w:rsid w:val="00472B51"/>
    <w:rsid w:val="00475C88"/>
    <w:rsid w:val="004760AF"/>
    <w:rsid w:val="00480FCD"/>
    <w:rsid w:val="004A10B9"/>
    <w:rsid w:val="004C488F"/>
    <w:rsid w:val="004E0E27"/>
    <w:rsid w:val="004E41EF"/>
    <w:rsid w:val="004F7032"/>
    <w:rsid w:val="0050320B"/>
    <w:rsid w:val="00515E81"/>
    <w:rsid w:val="005509C2"/>
    <w:rsid w:val="0055133D"/>
    <w:rsid w:val="00564F43"/>
    <w:rsid w:val="00575593"/>
    <w:rsid w:val="005A25ED"/>
    <w:rsid w:val="005B073F"/>
    <w:rsid w:val="005B4AC3"/>
    <w:rsid w:val="005C3C63"/>
    <w:rsid w:val="005C6D89"/>
    <w:rsid w:val="005D783D"/>
    <w:rsid w:val="005E7D1E"/>
    <w:rsid w:val="005F21DD"/>
    <w:rsid w:val="00601B1D"/>
    <w:rsid w:val="0061327C"/>
    <w:rsid w:val="0062335B"/>
    <w:rsid w:val="006472C0"/>
    <w:rsid w:val="0066211B"/>
    <w:rsid w:val="006764D2"/>
    <w:rsid w:val="00690525"/>
    <w:rsid w:val="006C5404"/>
    <w:rsid w:val="006C7D2A"/>
    <w:rsid w:val="006D2900"/>
    <w:rsid w:val="006D2E29"/>
    <w:rsid w:val="006D5967"/>
    <w:rsid w:val="006E7DAB"/>
    <w:rsid w:val="006F5559"/>
    <w:rsid w:val="0070203E"/>
    <w:rsid w:val="007130EC"/>
    <w:rsid w:val="00742E9B"/>
    <w:rsid w:val="007432A5"/>
    <w:rsid w:val="00746F3D"/>
    <w:rsid w:val="00752B9A"/>
    <w:rsid w:val="00796B31"/>
    <w:rsid w:val="007D1B36"/>
    <w:rsid w:val="007D77E8"/>
    <w:rsid w:val="007E15C2"/>
    <w:rsid w:val="007E43C8"/>
    <w:rsid w:val="007F6823"/>
    <w:rsid w:val="00810247"/>
    <w:rsid w:val="00843353"/>
    <w:rsid w:val="00847547"/>
    <w:rsid w:val="00855300"/>
    <w:rsid w:val="008630E4"/>
    <w:rsid w:val="008700A0"/>
    <w:rsid w:val="0088470F"/>
    <w:rsid w:val="008A2296"/>
    <w:rsid w:val="008B76AC"/>
    <w:rsid w:val="008C4914"/>
    <w:rsid w:val="008C496F"/>
    <w:rsid w:val="008D1778"/>
    <w:rsid w:val="008F4187"/>
    <w:rsid w:val="009115A7"/>
    <w:rsid w:val="0091350F"/>
    <w:rsid w:val="0091567E"/>
    <w:rsid w:val="00921C0E"/>
    <w:rsid w:val="009232D6"/>
    <w:rsid w:val="009333B2"/>
    <w:rsid w:val="00941F5A"/>
    <w:rsid w:val="00943D31"/>
    <w:rsid w:val="00971B37"/>
    <w:rsid w:val="00990131"/>
    <w:rsid w:val="00990FBF"/>
    <w:rsid w:val="009C4F61"/>
    <w:rsid w:val="009C541E"/>
    <w:rsid w:val="009D18D2"/>
    <w:rsid w:val="009E5527"/>
    <w:rsid w:val="009E6745"/>
    <w:rsid w:val="00A02AD5"/>
    <w:rsid w:val="00A03133"/>
    <w:rsid w:val="00A176E2"/>
    <w:rsid w:val="00A17DE4"/>
    <w:rsid w:val="00A31D3D"/>
    <w:rsid w:val="00A42B94"/>
    <w:rsid w:val="00A47703"/>
    <w:rsid w:val="00A512A1"/>
    <w:rsid w:val="00A56E15"/>
    <w:rsid w:val="00A7348F"/>
    <w:rsid w:val="00A806B4"/>
    <w:rsid w:val="00A82A4A"/>
    <w:rsid w:val="00A96EC7"/>
    <w:rsid w:val="00AA4696"/>
    <w:rsid w:val="00AF0735"/>
    <w:rsid w:val="00AF5F37"/>
    <w:rsid w:val="00B241BE"/>
    <w:rsid w:val="00B44232"/>
    <w:rsid w:val="00B50F4B"/>
    <w:rsid w:val="00B568C6"/>
    <w:rsid w:val="00B57C39"/>
    <w:rsid w:val="00B60BAB"/>
    <w:rsid w:val="00B71B2B"/>
    <w:rsid w:val="00B75C3E"/>
    <w:rsid w:val="00B816D9"/>
    <w:rsid w:val="00BE2FC7"/>
    <w:rsid w:val="00BE50D6"/>
    <w:rsid w:val="00BE521E"/>
    <w:rsid w:val="00BE76E2"/>
    <w:rsid w:val="00BF2184"/>
    <w:rsid w:val="00C14518"/>
    <w:rsid w:val="00C27C64"/>
    <w:rsid w:val="00C31650"/>
    <w:rsid w:val="00C50DA8"/>
    <w:rsid w:val="00C827EF"/>
    <w:rsid w:val="00C95C54"/>
    <w:rsid w:val="00CA7BEE"/>
    <w:rsid w:val="00CC293F"/>
    <w:rsid w:val="00CE1DBC"/>
    <w:rsid w:val="00CE644A"/>
    <w:rsid w:val="00D01490"/>
    <w:rsid w:val="00D12FA2"/>
    <w:rsid w:val="00D14318"/>
    <w:rsid w:val="00D2044F"/>
    <w:rsid w:val="00D46062"/>
    <w:rsid w:val="00D70608"/>
    <w:rsid w:val="00D81AA6"/>
    <w:rsid w:val="00D94F56"/>
    <w:rsid w:val="00DA2F4A"/>
    <w:rsid w:val="00DA6950"/>
    <w:rsid w:val="00DB62FF"/>
    <w:rsid w:val="00E40D99"/>
    <w:rsid w:val="00E455C8"/>
    <w:rsid w:val="00E81E94"/>
    <w:rsid w:val="00E91034"/>
    <w:rsid w:val="00E917BE"/>
    <w:rsid w:val="00EB0D94"/>
    <w:rsid w:val="00EB380D"/>
    <w:rsid w:val="00EB6FD4"/>
    <w:rsid w:val="00EC3403"/>
    <w:rsid w:val="00EC75A2"/>
    <w:rsid w:val="00ED4A58"/>
    <w:rsid w:val="00F007AD"/>
    <w:rsid w:val="00F01099"/>
    <w:rsid w:val="00F10E81"/>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169805699">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554929784">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1935090959">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cparde\AppData\Local\Microsoft\Windows\Temporary%20Internet%20Files\Content.Outlook\2RWYOEIO\CCCHC%20Financial%20Report%2004%2030%202018%20_.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cparde\AppData\Local\Microsoft\Windows\Temporary%20Internet%20Files\Content.Outlook\2RWYOEIO\CCCHC%20Financial%20Report%2004%2030%202018%20_.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707013072641284"/>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9974514055308301E-2"/>
          <c:y val="0.18706673213183977"/>
          <c:w val="0.89931682452736883"/>
          <c:h val="0.58213003749082681"/>
        </c:manualLayout>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Data!$A$265:$A$631</c:f>
              <c:numCache>
                <c:formatCode>[$-F800]dddd\,\ mmmm\ dd\,\ yyyy</c:formatCode>
                <c:ptCount val="367"/>
                <c:pt idx="0">
                  <c:v>42737</c:v>
                </c:pt>
                <c:pt idx="1">
                  <c:v>42738</c:v>
                </c:pt>
                <c:pt idx="2">
                  <c:v>42739</c:v>
                </c:pt>
                <c:pt idx="3">
                  <c:v>42740</c:v>
                </c:pt>
                <c:pt idx="4">
                  <c:v>42741</c:v>
                </c:pt>
                <c:pt idx="5">
                  <c:v>42744</c:v>
                </c:pt>
                <c:pt idx="6">
                  <c:v>42745</c:v>
                </c:pt>
                <c:pt idx="7">
                  <c:v>42746</c:v>
                </c:pt>
                <c:pt idx="8">
                  <c:v>42747</c:v>
                </c:pt>
                <c:pt idx="9">
                  <c:v>42748</c:v>
                </c:pt>
                <c:pt idx="10">
                  <c:v>42751</c:v>
                </c:pt>
                <c:pt idx="11">
                  <c:v>42752</c:v>
                </c:pt>
                <c:pt idx="12">
                  <c:v>42753</c:v>
                </c:pt>
                <c:pt idx="13">
                  <c:v>42754</c:v>
                </c:pt>
                <c:pt idx="14">
                  <c:v>42755</c:v>
                </c:pt>
                <c:pt idx="15">
                  <c:v>42758</c:v>
                </c:pt>
                <c:pt idx="16">
                  <c:v>42759</c:v>
                </c:pt>
                <c:pt idx="17">
                  <c:v>42760</c:v>
                </c:pt>
                <c:pt idx="18">
                  <c:v>42761</c:v>
                </c:pt>
                <c:pt idx="19">
                  <c:v>42762</c:v>
                </c:pt>
                <c:pt idx="20">
                  <c:v>42765</c:v>
                </c:pt>
                <c:pt idx="21">
                  <c:v>42766</c:v>
                </c:pt>
                <c:pt idx="22">
                  <c:v>42767</c:v>
                </c:pt>
                <c:pt idx="23">
                  <c:v>42768</c:v>
                </c:pt>
                <c:pt idx="24">
                  <c:v>42769</c:v>
                </c:pt>
                <c:pt idx="25">
                  <c:v>42772</c:v>
                </c:pt>
                <c:pt idx="26">
                  <c:v>42773</c:v>
                </c:pt>
                <c:pt idx="27">
                  <c:v>42774</c:v>
                </c:pt>
                <c:pt idx="28">
                  <c:v>42775</c:v>
                </c:pt>
                <c:pt idx="29">
                  <c:v>42776</c:v>
                </c:pt>
                <c:pt idx="30">
                  <c:v>42779</c:v>
                </c:pt>
                <c:pt idx="31">
                  <c:v>42780</c:v>
                </c:pt>
                <c:pt idx="32">
                  <c:v>42781</c:v>
                </c:pt>
                <c:pt idx="33">
                  <c:v>42782</c:v>
                </c:pt>
                <c:pt idx="34">
                  <c:v>42783</c:v>
                </c:pt>
                <c:pt idx="35">
                  <c:v>42785</c:v>
                </c:pt>
                <c:pt idx="36">
                  <c:v>42787</c:v>
                </c:pt>
                <c:pt idx="37">
                  <c:v>42788</c:v>
                </c:pt>
                <c:pt idx="38">
                  <c:v>42789</c:v>
                </c:pt>
                <c:pt idx="39">
                  <c:v>42790</c:v>
                </c:pt>
                <c:pt idx="40">
                  <c:v>42793</c:v>
                </c:pt>
                <c:pt idx="41">
                  <c:v>42794</c:v>
                </c:pt>
                <c:pt idx="42">
                  <c:v>42795</c:v>
                </c:pt>
                <c:pt idx="43">
                  <c:v>42796</c:v>
                </c:pt>
                <c:pt idx="44">
                  <c:v>42797</c:v>
                </c:pt>
                <c:pt idx="45">
                  <c:v>42800</c:v>
                </c:pt>
                <c:pt idx="46">
                  <c:v>42801</c:v>
                </c:pt>
                <c:pt idx="47">
                  <c:v>42802</c:v>
                </c:pt>
                <c:pt idx="48">
                  <c:v>42803</c:v>
                </c:pt>
                <c:pt idx="49">
                  <c:v>42804</c:v>
                </c:pt>
                <c:pt idx="50">
                  <c:v>42807</c:v>
                </c:pt>
                <c:pt idx="51">
                  <c:v>42808</c:v>
                </c:pt>
                <c:pt idx="52">
                  <c:v>42809</c:v>
                </c:pt>
                <c:pt idx="53">
                  <c:v>42810</c:v>
                </c:pt>
                <c:pt idx="54">
                  <c:v>42811</c:v>
                </c:pt>
                <c:pt idx="55">
                  <c:v>42814</c:v>
                </c:pt>
                <c:pt idx="56">
                  <c:v>42815</c:v>
                </c:pt>
                <c:pt idx="57">
                  <c:v>42816</c:v>
                </c:pt>
                <c:pt idx="58">
                  <c:v>42817</c:v>
                </c:pt>
                <c:pt idx="59">
                  <c:v>42818</c:v>
                </c:pt>
                <c:pt idx="60">
                  <c:v>42821</c:v>
                </c:pt>
                <c:pt idx="61">
                  <c:v>42822</c:v>
                </c:pt>
                <c:pt idx="62">
                  <c:v>42823</c:v>
                </c:pt>
                <c:pt idx="63">
                  <c:v>42824</c:v>
                </c:pt>
                <c:pt idx="64">
                  <c:v>42825</c:v>
                </c:pt>
                <c:pt idx="65">
                  <c:v>42828</c:v>
                </c:pt>
                <c:pt idx="66">
                  <c:v>42829</c:v>
                </c:pt>
                <c:pt idx="67">
                  <c:v>42830</c:v>
                </c:pt>
                <c:pt idx="68">
                  <c:v>42831</c:v>
                </c:pt>
                <c:pt idx="69">
                  <c:v>42832</c:v>
                </c:pt>
                <c:pt idx="70">
                  <c:v>42835</c:v>
                </c:pt>
                <c:pt idx="71">
                  <c:v>42836</c:v>
                </c:pt>
                <c:pt idx="72">
                  <c:v>42837</c:v>
                </c:pt>
                <c:pt idx="73">
                  <c:v>42838</c:v>
                </c:pt>
                <c:pt idx="74">
                  <c:v>42839</c:v>
                </c:pt>
                <c:pt idx="75">
                  <c:v>42842</c:v>
                </c:pt>
                <c:pt idx="76">
                  <c:v>42843</c:v>
                </c:pt>
                <c:pt idx="77">
                  <c:v>42844</c:v>
                </c:pt>
                <c:pt idx="78">
                  <c:v>42845</c:v>
                </c:pt>
                <c:pt idx="79">
                  <c:v>42846</c:v>
                </c:pt>
                <c:pt idx="80">
                  <c:v>42849</c:v>
                </c:pt>
                <c:pt idx="81">
                  <c:v>42850</c:v>
                </c:pt>
                <c:pt idx="82">
                  <c:v>42851</c:v>
                </c:pt>
                <c:pt idx="83">
                  <c:v>42852</c:v>
                </c:pt>
                <c:pt idx="84">
                  <c:v>42853</c:v>
                </c:pt>
                <c:pt idx="85">
                  <c:v>42856</c:v>
                </c:pt>
                <c:pt idx="86">
                  <c:v>42857</c:v>
                </c:pt>
                <c:pt idx="87">
                  <c:v>42858</c:v>
                </c:pt>
                <c:pt idx="88">
                  <c:v>42859</c:v>
                </c:pt>
                <c:pt idx="89">
                  <c:v>42860</c:v>
                </c:pt>
                <c:pt idx="90">
                  <c:v>42863</c:v>
                </c:pt>
                <c:pt idx="91">
                  <c:v>42864</c:v>
                </c:pt>
                <c:pt idx="92">
                  <c:v>42865</c:v>
                </c:pt>
                <c:pt idx="93">
                  <c:v>42866</c:v>
                </c:pt>
                <c:pt idx="94">
                  <c:v>42867</c:v>
                </c:pt>
                <c:pt idx="95">
                  <c:v>42870</c:v>
                </c:pt>
                <c:pt idx="96">
                  <c:v>42871</c:v>
                </c:pt>
                <c:pt idx="97">
                  <c:v>42872</c:v>
                </c:pt>
                <c:pt idx="98">
                  <c:v>42873</c:v>
                </c:pt>
                <c:pt idx="99">
                  <c:v>42874</c:v>
                </c:pt>
                <c:pt idx="100">
                  <c:v>42877</c:v>
                </c:pt>
                <c:pt idx="101">
                  <c:v>42878</c:v>
                </c:pt>
                <c:pt idx="102">
                  <c:v>42879</c:v>
                </c:pt>
                <c:pt idx="103">
                  <c:v>42880</c:v>
                </c:pt>
                <c:pt idx="104">
                  <c:v>42881</c:v>
                </c:pt>
                <c:pt idx="105">
                  <c:v>42884</c:v>
                </c:pt>
                <c:pt idx="106">
                  <c:v>42885</c:v>
                </c:pt>
                <c:pt idx="107">
                  <c:v>42886</c:v>
                </c:pt>
                <c:pt idx="108">
                  <c:v>42887</c:v>
                </c:pt>
                <c:pt idx="109">
                  <c:v>42888</c:v>
                </c:pt>
                <c:pt idx="110">
                  <c:v>42891</c:v>
                </c:pt>
                <c:pt idx="111">
                  <c:v>42892</c:v>
                </c:pt>
                <c:pt idx="112">
                  <c:v>42893</c:v>
                </c:pt>
                <c:pt idx="113">
                  <c:v>42894</c:v>
                </c:pt>
                <c:pt idx="114">
                  <c:v>42895</c:v>
                </c:pt>
                <c:pt idx="115">
                  <c:v>42898</c:v>
                </c:pt>
                <c:pt idx="116">
                  <c:v>42899</c:v>
                </c:pt>
                <c:pt idx="117">
                  <c:v>42900</c:v>
                </c:pt>
                <c:pt idx="118">
                  <c:v>42901</c:v>
                </c:pt>
                <c:pt idx="119">
                  <c:v>42902</c:v>
                </c:pt>
                <c:pt idx="120">
                  <c:v>42905</c:v>
                </c:pt>
                <c:pt idx="121">
                  <c:v>42906</c:v>
                </c:pt>
                <c:pt idx="122">
                  <c:v>42907</c:v>
                </c:pt>
                <c:pt idx="123">
                  <c:v>42908</c:v>
                </c:pt>
                <c:pt idx="124">
                  <c:v>42909</c:v>
                </c:pt>
                <c:pt idx="125">
                  <c:v>42912</c:v>
                </c:pt>
                <c:pt idx="126">
                  <c:v>42913</c:v>
                </c:pt>
                <c:pt idx="127">
                  <c:v>42914</c:v>
                </c:pt>
                <c:pt idx="128">
                  <c:v>42915</c:v>
                </c:pt>
                <c:pt idx="129">
                  <c:v>42916</c:v>
                </c:pt>
                <c:pt idx="130">
                  <c:v>42919</c:v>
                </c:pt>
                <c:pt idx="131">
                  <c:v>42920</c:v>
                </c:pt>
                <c:pt idx="132">
                  <c:v>42921</c:v>
                </c:pt>
                <c:pt idx="133">
                  <c:v>42922</c:v>
                </c:pt>
                <c:pt idx="134">
                  <c:v>42923</c:v>
                </c:pt>
                <c:pt idx="135">
                  <c:v>42926</c:v>
                </c:pt>
                <c:pt idx="136">
                  <c:v>42927</c:v>
                </c:pt>
                <c:pt idx="137">
                  <c:v>42928</c:v>
                </c:pt>
                <c:pt idx="138">
                  <c:v>42929</c:v>
                </c:pt>
                <c:pt idx="139">
                  <c:v>42930</c:v>
                </c:pt>
                <c:pt idx="140">
                  <c:v>42933</c:v>
                </c:pt>
                <c:pt idx="141">
                  <c:v>42934</c:v>
                </c:pt>
                <c:pt idx="142">
                  <c:v>42935</c:v>
                </c:pt>
                <c:pt idx="143">
                  <c:v>42936</c:v>
                </c:pt>
                <c:pt idx="144">
                  <c:v>42937</c:v>
                </c:pt>
                <c:pt idx="145">
                  <c:v>42940</c:v>
                </c:pt>
                <c:pt idx="146">
                  <c:v>42941</c:v>
                </c:pt>
                <c:pt idx="147">
                  <c:v>42942</c:v>
                </c:pt>
                <c:pt idx="148">
                  <c:v>42943</c:v>
                </c:pt>
                <c:pt idx="149">
                  <c:v>42944</c:v>
                </c:pt>
                <c:pt idx="150">
                  <c:v>42947</c:v>
                </c:pt>
                <c:pt idx="151">
                  <c:v>42948</c:v>
                </c:pt>
                <c:pt idx="152">
                  <c:v>42949</c:v>
                </c:pt>
                <c:pt idx="153">
                  <c:v>42950</c:v>
                </c:pt>
                <c:pt idx="154">
                  <c:v>42951</c:v>
                </c:pt>
                <c:pt idx="155">
                  <c:v>42954</c:v>
                </c:pt>
                <c:pt idx="156">
                  <c:v>42955</c:v>
                </c:pt>
                <c:pt idx="157">
                  <c:v>42956</c:v>
                </c:pt>
                <c:pt idx="158">
                  <c:v>42957</c:v>
                </c:pt>
                <c:pt idx="159">
                  <c:v>42958</c:v>
                </c:pt>
                <c:pt idx="160">
                  <c:v>42961</c:v>
                </c:pt>
                <c:pt idx="161">
                  <c:v>42962</c:v>
                </c:pt>
                <c:pt idx="162">
                  <c:v>42963</c:v>
                </c:pt>
                <c:pt idx="163">
                  <c:v>42964</c:v>
                </c:pt>
                <c:pt idx="164">
                  <c:v>42965</c:v>
                </c:pt>
                <c:pt idx="165">
                  <c:v>42968</c:v>
                </c:pt>
                <c:pt idx="166">
                  <c:v>42969</c:v>
                </c:pt>
                <c:pt idx="167">
                  <c:v>42970</c:v>
                </c:pt>
                <c:pt idx="168">
                  <c:v>42971</c:v>
                </c:pt>
                <c:pt idx="169">
                  <c:v>42972</c:v>
                </c:pt>
                <c:pt idx="170">
                  <c:v>42975</c:v>
                </c:pt>
                <c:pt idx="171">
                  <c:v>42976</c:v>
                </c:pt>
                <c:pt idx="172">
                  <c:v>42977</c:v>
                </c:pt>
                <c:pt idx="173">
                  <c:v>42978</c:v>
                </c:pt>
                <c:pt idx="174">
                  <c:v>42979</c:v>
                </c:pt>
                <c:pt idx="175">
                  <c:v>42982</c:v>
                </c:pt>
                <c:pt idx="176">
                  <c:v>42983</c:v>
                </c:pt>
                <c:pt idx="177">
                  <c:v>42984</c:v>
                </c:pt>
                <c:pt idx="178">
                  <c:v>42985</c:v>
                </c:pt>
                <c:pt idx="179">
                  <c:v>42986</c:v>
                </c:pt>
                <c:pt idx="180">
                  <c:v>42989</c:v>
                </c:pt>
                <c:pt idx="181">
                  <c:v>42990</c:v>
                </c:pt>
                <c:pt idx="182">
                  <c:v>42991</c:v>
                </c:pt>
                <c:pt idx="183">
                  <c:v>42992</c:v>
                </c:pt>
                <c:pt idx="184">
                  <c:v>42993</c:v>
                </c:pt>
                <c:pt idx="185">
                  <c:v>42996</c:v>
                </c:pt>
                <c:pt idx="186">
                  <c:v>42997</c:v>
                </c:pt>
                <c:pt idx="187">
                  <c:v>42998</c:v>
                </c:pt>
                <c:pt idx="188">
                  <c:v>42999</c:v>
                </c:pt>
                <c:pt idx="189">
                  <c:v>43000</c:v>
                </c:pt>
                <c:pt idx="190">
                  <c:v>43003</c:v>
                </c:pt>
                <c:pt idx="191">
                  <c:v>43004</c:v>
                </c:pt>
                <c:pt idx="192">
                  <c:v>43005</c:v>
                </c:pt>
                <c:pt idx="193">
                  <c:v>43006</c:v>
                </c:pt>
                <c:pt idx="194">
                  <c:v>43007</c:v>
                </c:pt>
                <c:pt idx="195">
                  <c:v>43010</c:v>
                </c:pt>
                <c:pt idx="196">
                  <c:v>43011</c:v>
                </c:pt>
                <c:pt idx="197">
                  <c:v>43012</c:v>
                </c:pt>
                <c:pt idx="198">
                  <c:v>43013</c:v>
                </c:pt>
                <c:pt idx="199">
                  <c:v>43014</c:v>
                </c:pt>
                <c:pt idx="200">
                  <c:v>43017</c:v>
                </c:pt>
                <c:pt idx="201">
                  <c:v>43018</c:v>
                </c:pt>
                <c:pt idx="202">
                  <c:v>43019</c:v>
                </c:pt>
                <c:pt idx="203">
                  <c:v>43020</c:v>
                </c:pt>
                <c:pt idx="204">
                  <c:v>43021</c:v>
                </c:pt>
                <c:pt idx="205">
                  <c:v>43024</c:v>
                </c:pt>
                <c:pt idx="206">
                  <c:v>43025</c:v>
                </c:pt>
                <c:pt idx="207">
                  <c:v>43026</c:v>
                </c:pt>
                <c:pt idx="208">
                  <c:v>43027</c:v>
                </c:pt>
                <c:pt idx="209">
                  <c:v>43028</c:v>
                </c:pt>
                <c:pt idx="210">
                  <c:v>43031</c:v>
                </c:pt>
                <c:pt idx="211">
                  <c:v>43032</c:v>
                </c:pt>
                <c:pt idx="212">
                  <c:v>43033</c:v>
                </c:pt>
                <c:pt idx="213">
                  <c:v>43034</c:v>
                </c:pt>
                <c:pt idx="214">
                  <c:v>43035</c:v>
                </c:pt>
                <c:pt idx="215">
                  <c:v>43038</c:v>
                </c:pt>
                <c:pt idx="216">
                  <c:v>43039</c:v>
                </c:pt>
                <c:pt idx="217">
                  <c:v>43040</c:v>
                </c:pt>
                <c:pt idx="218">
                  <c:v>43041</c:v>
                </c:pt>
                <c:pt idx="219">
                  <c:v>43042</c:v>
                </c:pt>
                <c:pt idx="220">
                  <c:v>43045</c:v>
                </c:pt>
                <c:pt idx="221">
                  <c:v>43046</c:v>
                </c:pt>
                <c:pt idx="222">
                  <c:v>43047</c:v>
                </c:pt>
                <c:pt idx="223">
                  <c:v>43048</c:v>
                </c:pt>
                <c:pt idx="224">
                  <c:v>43049</c:v>
                </c:pt>
                <c:pt idx="225">
                  <c:v>43052</c:v>
                </c:pt>
                <c:pt idx="226">
                  <c:v>43053</c:v>
                </c:pt>
                <c:pt idx="227">
                  <c:v>43054</c:v>
                </c:pt>
                <c:pt idx="228">
                  <c:v>43055</c:v>
                </c:pt>
                <c:pt idx="229">
                  <c:v>43056</c:v>
                </c:pt>
                <c:pt idx="230">
                  <c:v>43059</c:v>
                </c:pt>
                <c:pt idx="231">
                  <c:v>43060</c:v>
                </c:pt>
                <c:pt idx="232">
                  <c:v>43061</c:v>
                </c:pt>
                <c:pt idx="233">
                  <c:v>43062</c:v>
                </c:pt>
                <c:pt idx="234">
                  <c:v>43063</c:v>
                </c:pt>
                <c:pt idx="235">
                  <c:v>43066</c:v>
                </c:pt>
                <c:pt idx="236">
                  <c:v>43067</c:v>
                </c:pt>
                <c:pt idx="237">
                  <c:v>43068</c:v>
                </c:pt>
                <c:pt idx="238">
                  <c:v>43069</c:v>
                </c:pt>
                <c:pt idx="239">
                  <c:v>43070</c:v>
                </c:pt>
                <c:pt idx="240">
                  <c:v>43073</c:v>
                </c:pt>
                <c:pt idx="241">
                  <c:v>43074</c:v>
                </c:pt>
                <c:pt idx="242">
                  <c:v>43075</c:v>
                </c:pt>
                <c:pt idx="243">
                  <c:v>43076</c:v>
                </c:pt>
                <c:pt idx="244">
                  <c:v>43077</c:v>
                </c:pt>
                <c:pt idx="245">
                  <c:v>43080</c:v>
                </c:pt>
                <c:pt idx="246">
                  <c:v>43081</c:v>
                </c:pt>
                <c:pt idx="247">
                  <c:v>43082</c:v>
                </c:pt>
                <c:pt idx="248">
                  <c:v>43083</c:v>
                </c:pt>
                <c:pt idx="249">
                  <c:v>43084</c:v>
                </c:pt>
                <c:pt idx="250">
                  <c:v>43087</c:v>
                </c:pt>
                <c:pt idx="251">
                  <c:v>43088</c:v>
                </c:pt>
                <c:pt idx="252">
                  <c:v>43089</c:v>
                </c:pt>
                <c:pt idx="253">
                  <c:v>43090</c:v>
                </c:pt>
                <c:pt idx="254">
                  <c:v>43091</c:v>
                </c:pt>
                <c:pt idx="255">
                  <c:v>43094</c:v>
                </c:pt>
                <c:pt idx="256">
                  <c:v>43095</c:v>
                </c:pt>
                <c:pt idx="257">
                  <c:v>43096</c:v>
                </c:pt>
                <c:pt idx="258">
                  <c:v>43097</c:v>
                </c:pt>
                <c:pt idx="259">
                  <c:v>43098</c:v>
                </c:pt>
                <c:pt idx="260">
                  <c:v>43101</c:v>
                </c:pt>
                <c:pt idx="261">
                  <c:v>43102</c:v>
                </c:pt>
                <c:pt idx="262">
                  <c:v>43103</c:v>
                </c:pt>
                <c:pt idx="263">
                  <c:v>43104</c:v>
                </c:pt>
                <c:pt idx="264">
                  <c:v>43105</c:v>
                </c:pt>
                <c:pt idx="265">
                  <c:v>43108</c:v>
                </c:pt>
                <c:pt idx="266">
                  <c:v>43109</c:v>
                </c:pt>
                <c:pt idx="267">
                  <c:v>43110</c:v>
                </c:pt>
                <c:pt idx="268">
                  <c:v>43111</c:v>
                </c:pt>
                <c:pt idx="269">
                  <c:v>43112</c:v>
                </c:pt>
                <c:pt idx="270">
                  <c:v>43115</c:v>
                </c:pt>
                <c:pt idx="271">
                  <c:v>43116</c:v>
                </c:pt>
                <c:pt idx="272">
                  <c:v>43117</c:v>
                </c:pt>
                <c:pt idx="273">
                  <c:v>43118</c:v>
                </c:pt>
                <c:pt idx="274">
                  <c:v>43119</c:v>
                </c:pt>
                <c:pt idx="275">
                  <c:v>43122</c:v>
                </c:pt>
                <c:pt idx="276">
                  <c:v>43123</c:v>
                </c:pt>
                <c:pt idx="277">
                  <c:v>43124</c:v>
                </c:pt>
                <c:pt idx="278">
                  <c:v>43125</c:v>
                </c:pt>
                <c:pt idx="279">
                  <c:v>43126</c:v>
                </c:pt>
                <c:pt idx="280">
                  <c:v>43129</c:v>
                </c:pt>
                <c:pt idx="281">
                  <c:v>43130</c:v>
                </c:pt>
                <c:pt idx="282">
                  <c:v>43131</c:v>
                </c:pt>
                <c:pt idx="283">
                  <c:v>43132</c:v>
                </c:pt>
                <c:pt idx="284">
                  <c:v>43133</c:v>
                </c:pt>
                <c:pt idx="285">
                  <c:v>43136</c:v>
                </c:pt>
                <c:pt idx="286">
                  <c:v>43137</c:v>
                </c:pt>
                <c:pt idx="287">
                  <c:v>43138</c:v>
                </c:pt>
                <c:pt idx="288">
                  <c:v>43139</c:v>
                </c:pt>
                <c:pt idx="289">
                  <c:v>43140</c:v>
                </c:pt>
                <c:pt idx="290">
                  <c:v>43143</c:v>
                </c:pt>
                <c:pt idx="291">
                  <c:v>43144</c:v>
                </c:pt>
                <c:pt idx="292">
                  <c:v>43145</c:v>
                </c:pt>
                <c:pt idx="293">
                  <c:v>43146</c:v>
                </c:pt>
                <c:pt idx="294">
                  <c:v>43147</c:v>
                </c:pt>
                <c:pt idx="295">
                  <c:v>43150</c:v>
                </c:pt>
                <c:pt idx="296">
                  <c:v>43151</c:v>
                </c:pt>
                <c:pt idx="297">
                  <c:v>43152</c:v>
                </c:pt>
                <c:pt idx="298">
                  <c:v>43153</c:v>
                </c:pt>
                <c:pt idx="299">
                  <c:v>43154</c:v>
                </c:pt>
                <c:pt idx="300">
                  <c:v>43157</c:v>
                </c:pt>
                <c:pt idx="301">
                  <c:v>43158</c:v>
                </c:pt>
                <c:pt idx="302">
                  <c:v>43159</c:v>
                </c:pt>
                <c:pt idx="303">
                  <c:v>43160</c:v>
                </c:pt>
                <c:pt idx="304">
                  <c:v>43161</c:v>
                </c:pt>
                <c:pt idx="305">
                  <c:v>43164</c:v>
                </c:pt>
                <c:pt idx="306">
                  <c:v>43165</c:v>
                </c:pt>
                <c:pt idx="307">
                  <c:v>43166</c:v>
                </c:pt>
                <c:pt idx="308">
                  <c:v>43167</c:v>
                </c:pt>
                <c:pt idx="309">
                  <c:v>43168</c:v>
                </c:pt>
                <c:pt idx="310">
                  <c:v>43171</c:v>
                </c:pt>
                <c:pt idx="311">
                  <c:v>43172</c:v>
                </c:pt>
                <c:pt idx="312">
                  <c:v>43173</c:v>
                </c:pt>
                <c:pt idx="313">
                  <c:v>43174</c:v>
                </c:pt>
                <c:pt idx="314">
                  <c:v>43175</c:v>
                </c:pt>
                <c:pt idx="315">
                  <c:v>43178</c:v>
                </c:pt>
                <c:pt idx="316">
                  <c:v>43179</c:v>
                </c:pt>
                <c:pt idx="317">
                  <c:v>43180</c:v>
                </c:pt>
                <c:pt idx="318">
                  <c:v>43181</c:v>
                </c:pt>
                <c:pt idx="319">
                  <c:v>43182</c:v>
                </c:pt>
                <c:pt idx="320">
                  <c:v>43185</c:v>
                </c:pt>
                <c:pt idx="321">
                  <c:v>43186</c:v>
                </c:pt>
                <c:pt idx="322">
                  <c:v>43187</c:v>
                </c:pt>
                <c:pt idx="323">
                  <c:v>43188</c:v>
                </c:pt>
                <c:pt idx="324">
                  <c:v>43189</c:v>
                </c:pt>
                <c:pt idx="325">
                  <c:v>43192</c:v>
                </c:pt>
                <c:pt idx="326">
                  <c:v>43193</c:v>
                </c:pt>
                <c:pt idx="327">
                  <c:v>43194</c:v>
                </c:pt>
                <c:pt idx="328">
                  <c:v>43195</c:v>
                </c:pt>
                <c:pt idx="329">
                  <c:v>43196</c:v>
                </c:pt>
                <c:pt idx="330">
                  <c:v>43199</c:v>
                </c:pt>
                <c:pt idx="331">
                  <c:v>43200</c:v>
                </c:pt>
                <c:pt idx="332">
                  <c:v>43201</c:v>
                </c:pt>
                <c:pt idx="333">
                  <c:v>43202</c:v>
                </c:pt>
                <c:pt idx="334">
                  <c:v>43203</c:v>
                </c:pt>
                <c:pt idx="335">
                  <c:v>43206</c:v>
                </c:pt>
                <c:pt idx="336">
                  <c:v>43207</c:v>
                </c:pt>
                <c:pt idx="337">
                  <c:v>43208</c:v>
                </c:pt>
                <c:pt idx="338">
                  <c:v>43209</c:v>
                </c:pt>
                <c:pt idx="339">
                  <c:v>43210</c:v>
                </c:pt>
                <c:pt idx="340">
                  <c:v>43213</c:v>
                </c:pt>
                <c:pt idx="341">
                  <c:v>43214</c:v>
                </c:pt>
                <c:pt idx="342">
                  <c:v>43215</c:v>
                </c:pt>
                <c:pt idx="343">
                  <c:v>43216</c:v>
                </c:pt>
                <c:pt idx="344">
                  <c:v>43217</c:v>
                </c:pt>
                <c:pt idx="345">
                  <c:v>43220</c:v>
                </c:pt>
                <c:pt idx="346">
                  <c:v>43221</c:v>
                </c:pt>
                <c:pt idx="347">
                  <c:v>43222</c:v>
                </c:pt>
                <c:pt idx="348">
                  <c:v>43223</c:v>
                </c:pt>
                <c:pt idx="349">
                  <c:v>43224</c:v>
                </c:pt>
                <c:pt idx="350">
                  <c:v>43227</c:v>
                </c:pt>
                <c:pt idx="351">
                  <c:v>43228</c:v>
                </c:pt>
                <c:pt idx="352">
                  <c:v>43229</c:v>
                </c:pt>
                <c:pt idx="353">
                  <c:v>43230</c:v>
                </c:pt>
                <c:pt idx="354">
                  <c:v>43231</c:v>
                </c:pt>
                <c:pt idx="355">
                  <c:v>43234</c:v>
                </c:pt>
                <c:pt idx="356">
                  <c:v>43235</c:v>
                </c:pt>
                <c:pt idx="357">
                  <c:v>43236</c:v>
                </c:pt>
                <c:pt idx="358">
                  <c:v>43237</c:v>
                </c:pt>
                <c:pt idx="359">
                  <c:v>43238</c:v>
                </c:pt>
                <c:pt idx="360">
                  <c:v>43241</c:v>
                </c:pt>
                <c:pt idx="361">
                  <c:v>43242</c:v>
                </c:pt>
                <c:pt idx="362">
                  <c:v>43243</c:v>
                </c:pt>
                <c:pt idx="363">
                  <c:v>43244</c:v>
                </c:pt>
                <c:pt idx="364">
                  <c:v>43245</c:v>
                </c:pt>
                <c:pt idx="365">
                  <c:v>43248</c:v>
                </c:pt>
                <c:pt idx="366">
                  <c:v>43249</c:v>
                </c:pt>
              </c:numCache>
            </c:numRef>
          </c:cat>
          <c:val>
            <c:numRef>
              <c:f>Data!$B$265:$B$631</c:f>
              <c:numCache>
                <c:formatCode>#,##0</c:formatCode>
                <c:ptCount val="367"/>
                <c:pt idx="0">
                  <c:v>354814</c:v>
                </c:pt>
                <c:pt idx="1">
                  <c:v>361866.86</c:v>
                </c:pt>
                <c:pt idx="2">
                  <c:v>363519.32</c:v>
                </c:pt>
                <c:pt idx="3">
                  <c:v>361866.66</c:v>
                </c:pt>
                <c:pt idx="4">
                  <c:v>363519</c:v>
                </c:pt>
                <c:pt idx="5">
                  <c:v>363543.47</c:v>
                </c:pt>
                <c:pt idx="6">
                  <c:v>328707.83</c:v>
                </c:pt>
                <c:pt idx="7">
                  <c:v>328708</c:v>
                </c:pt>
                <c:pt idx="8">
                  <c:v>321086.01</c:v>
                </c:pt>
                <c:pt idx="9">
                  <c:v>334097.28000000003</c:v>
                </c:pt>
                <c:pt idx="10">
                  <c:v>334097</c:v>
                </c:pt>
                <c:pt idx="11">
                  <c:v>268850.96000000002</c:v>
                </c:pt>
                <c:pt idx="12">
                  <c:v>268851</c:v>
                </c:pt>
                <c:pt idx="13">
                  <c:v>269075.21000000002</c:v>
                </c:pt>
                <c:pt idx="14">
                  <c:v>270983.21000000002</c:v>
                </c:pt>
                <c:pt idx="15">
                  <c:v>270983</c:v>
                </c:pt>
                <c:pt idx="16">
                  <c:v>270723.98</c:v>
                </c:pt>
                <c:pt idx="17">
                  <c:v>281353.09999999998</c:v>
                </c:pt>
                <c:pt idx="18">
                  <c:v>274313.84999999998</c:v>
                </c:pt>
                <c:pt idx="19">
                  <c:v>296447.59999999998</c:v>
                </c:pt>
                <c:pt idx="20">
                  <c:v>295107.96000000002</c:v>
                </c:pt>
                <c:pt idx="21">
                  <c:v>314030.53000000003</c:v>
                </c:pt>
                <c:pt idx="22">
                  <c:v>314031</c:v>
                </c:pt>
                <c:pt idx="23">
                  <c:v>312808.53999999998</c:v>
                </c:pt>
                <c:pt idx="24">
                  <c:v>316461.53999999998</c:v>
                </c:pt>
                <c:pt idx="25">
                  <c:v>316462</c:v>
                </c:pt>
                <c:pt idx="26">
                  <c:v>289560.21999999997</c:v>
                </c:pt>
                <c:pt idx="27">
                  <c:v>297310.21999999997</c:v>
                </c:pt>
                <c:pt idx="28">
                  <c:v>352433.91</c:v>
                </c:pt>
                <c:pt idx="29">
                  <c:v>352434</c:v>
                </c:pt>
                <c:pt idx="30">
                  <c:v>352434</c:v>
                </c:pt>
                <c:pt idx="31">
                  <c:v>352434</c:v>
                </c:pt>
                <c:pt idx="32">
                  <c:v>352542.46</c:v>
                </c:pt>
                <c:pt idx="33">
                  <c:v>383231.99</c:v>
                </c:pt>
                <c:pt idx="34">
                  <c:v>404679.36</c:v>
                </c:pt>
                <c:pt idx="35">
                  <c:v>404679</c:v>
                </c:pt>
                <c:pt idx="36">
                  <c:v>368703.72</c:v>
                </c:pt>
                <c:pt idx="37">
                  <c:v>368203.72</c:v>
                </c:pt>
                <c:pt idx="38">
                  <c:v>349211.92</c:v>
                </c:pt>
                <c:pt idx="39">
                  <c:v>384176.45</c:v>
                </c:pt>
                <c:pt idx="40">
                  <c:v>384176</c:v>
                </c:pt>
                <c:pt idx="41">
                  <c:v>384176</c:v>
                </c:pt>
                <c:pt idx="42">
                  <c:v>384176</c:v>
                </c:pt>
                <c:pt idx="43">
                  <c:v>395396.43</c:v>
                </c:pt>
                <c:pt idx="44">
                  <c:v>395396</c:v>
                </c:pt>
                <c:pt idx="45">
                  <c:v>395396</c:v>
                </c:pt>
                <c:pt idx="46">
                  <c:v>361856.47</c:v>
                </c:pt>
                <c:pt idx="47">
                  <c:v>361856</c:v>
                </c:pt>
                <c:pt idx="48">
                  <c:v>349877.16</c:v>
                </c:pt>
                <c:pt idx="49">
                  <c:v>359297.81</c:v>
                </c:pt>
                <c:pt idx="50">
                  <c:v>361678.91</c:v>
                </c:pt>
                <c:pt idx="51">
                  <c:v>361679</c:v>
                </c:pt>
                <c:pt idx="52">
                  <c:v>370843.37</c:v>
                </c:pt>
                <c:pt idx="53">
                  <c:v>377566.07</c:v>
                </c:pt>
                <c:pt idx="54">
                  <c:v>370373.97</c:v>
                </c:pt>
                <c:pt idx="55">
                  <c:v>338340.3</c:v>
                </c:pt>
                <c:pt idx="56">
                  <c:v>338340</c:v>
                </c:pt>
                <c:pt idx="57">
                  <c:v>338340</c:v>
                </c:pt>
                <c:pt idx="58">
                  <c:v>348438.37</c:v>
                </c:pt>
                <c:pt idx="59">
                  <c:v>348438</c:v>
                </c:pt>
                <c:pt idx="60">
                  <c:v>348360.51</c:v>
                </c:pt>
                <c:pt idx="61" formatCode="#,##0_);[Red]\(#,##0\)">
                  <c:v>348440.48</c:v>
                </c:pt>
                <c:pt idx="62" formatCode="#,##0_);[Red]\(#,##0\)">
                  <c:v>348440</c:v>
                </c:pt>
                <c:pt idx="63" formatCode="#,##0_);[Red]\(#,##0\)">
                  <c:v>350305.92</c:v>
                </c:pt>
                <c:pt idx="64" formatCode="#,##0_);[Red]\(#,##0\)">
                  <c:v>350306</c:v>
                </c:pt>
                <c:pt idx="65" formatCode="#,##0_);[Red]\(#,##0\)">
                  <c:v>350306</c:v>
                </c:pt>
                <c:pt idx="66" formatCode="#,##0_);[Red]\(#,##0\)">
                  <c:v>320389.65000000002</c:v>
                </c:pt>
                <c:pt idx="67" formatCode="#,##0_);[Red]\(#,##0\)">
                  <c:v>320390</c:v>
                </c:pt>
                <c:pt idx="68" formatCode="#,##0_);[Red]\(#,##0\)">
                  <c:v>313344</c:v>
                </c:pt>
                <c:pt idx="69" formatCode="#,##0_);[Red]\(#,##0\)">
                  <c:v>313344</c:v>
                </c:pt>
                <c:pt idx="70" formatCode="#,##0_);[Red]\(#,##0\)">
                  <c:v>306132.78000000003</c:v>
                </c:pt>
                <c:pt idx="71" formatCode="#,##0_);[Red]\(#,##0\)">
                  <c:v>286047.34999999998</c:v>
                </c:pt>
                <c:pt idx="72" formatCode="#,##0_);[Red]\(#,##0\)">
                  <c:v>286047</c:v>
                </c:pt>
                <c:pt idx="73" formatCode="#,##0_);[Red]\(#,##0\)">
                  <c:v>272128.99</c:v>
                </c:pt>
                <c:pt idx="74" formatCode="#,##0_);[Red]\(#,##0\)">
                  <c:v>272229.71000000002</c:v>
                </c:pt>
                <c:pt idx="75" formatCode="#,##0_);[Red]\(#,##0\)">
                  <c:v>236683.56</c:v>
                </c:pt>
                <c:pt idx="76" formatCode="#,##0_);[Red]\(#,##0\)">
                  <c:v>244114.64</c:v>
                </c:pt>
                <c:pt idx="77" formatCode="#,##0_);[Red]\(#,##0\)">
                  <c:v>244115</c:v>
                </c:pt>
                <c:pt idx="78" formatCode="#,##0_);[Red]\(#,##0\)">
                  <c:v>241798.76</c:v>
                </c:pt>
                <c:pt idx="79" formatCode="#,##0_);[Red]\(#,##0\)">
                  <c:v>241799</c:v>
                </c:pt>
                <c:pt idx="80" formatCode="#,##0_);[Red]\(#,##0\)">
                  <c:v>241973.76000000001</c:v>
                </c:pt>
                <c:pt idx="81" formatCode="#,##0_);[Red]\(#,##0\)">
                  <c:v>243364.2</c:v>
                </c:pt>
                <c:pt idx="82" formatCode="#,##0_);[Red]\(#,##0\)">
                  <c:v>243364</c:v>
                </c:pt>
                <c:pt idx="83" formatCode="#,##0_);[Red]\(#,##0\)">
                  <c:v>259265.45</c:v>
                </c:pt>
                <c:pt idx="84" formatCode="#,##0_);[Red]\(#,##0\)">
                  <c:v>290731.18</c:v>
                </c:pt>
                <c:pt idx="85" formatCode="#,##0_);[Red]\(#,##0\)">
                  <c:v>251486.17</c:v>
                </c:pt>
                <c:pt idx="86" formatCode="#,##0_);[Red]\(#,##0\)">
                  <c:v>253188.17</c:v>
                </c:pt>
                <c:pt idx="87" formatCode="#,##0_);[Red]\(#,##0\)">
                  <c:v>253188</c:v>
                </c:pt>
                <c:pt idx="88" formatCode="#,##0_);[Red]\(#,##0\)">
                  <c:v>232739.33</c:v>
                </c:pt>
                <c:pt idx="89" formatCode="#,##0_);[Red]\(#,##0\)">
                  <c:v>234049.33</c:v>
                </c:pt>
                <c:pt idx="90" formatCode="#,##0_);[Red]\(#,##0\)">
                  <c:v>314317.77</c:v>
                </c:pt>
                <c:pt idx="91" formatCode="#,##0_);[Red]\(#,##0\)">
                  <c:v>314318</c:v>
                </c:pt>
                <c:pt idx="92" formatCode="#,##0_);[Red]\(#,##0\)">
                  <c:v>314318</c:v>
                </c:pt>
                <c:pt idx="93" formatCode="#,##0_);[Red]\(#,##0\)">
                  <c:v>313971.28000000003</c:v>
                </c:pt>
                <c:pt idx="94" formatCode="#,##0_);[Red]\(#,##0\)">
                  <c:v>313971</c:v>
                </c:pt>
                <c:pt idx="95" formatCode="#,##0_);[Red]\(#,##0\)">
                  <c:v>271063.69</c:v>
                </c:pt>
                <c:pt idx="96" formatCode="#,##0_);[Red]\(#,##0\)">
                  <c:v>271064</c:v>
                </c:pt>
                <c:pt idx="97" formatCode="#,##0_);[Red]\(#,##0\)">
                  <c:v>271064</c:v>
                </c:pt>
                <c:pt idx="98" formatCode="#,##0_);[Red]\(#,##0\)">
                  <c:v>261497.73</c:v>
                </c:pt>
                <c:pt idx="99" formatCode="#,##0_);[Red]\(#,##0\)">
                  <c:v>311507.92</c:v>
                </c:pt>
                <c:pt idx="100" formatCode="#,##0_);[Red]\(#,##0\)">
                  <c:v>290080.52</c:v>
                </c:pt>
                <c:pt idx="101" formatCode="#,##0_);[Red]\(#,##0\)">
                  <c:v>290081</c:v>
                </c:pt>
                <c:pt idx="102" formatCode="#,##0_);[Red]\(#,##0\)">
                  <c:v>327080.46000000002</c:v>
                </c:pt>
                <c:pt idx="103" formatCode="#,##0_);[Red]\(#,##0\)">
                  <c:v>327080</c:v>
                </c:pt>
                <c:pt idx="104" formatCode="#,##0_);[Red]\(#,##0\)">
                  <c:v>336844.12</c:v>
                </c:pt>
                <c:pt idx="105" formatCode="#,##0_);[Red]\(#,##0\)">
                  <c:v>336844</c:v>
                </c:pt>
                <c:pt idx="106" formatCode="#,##0_);[Red]\(#,##0\)">
                  <c:v>300553.48</c:v>
                </c:pt>
                <c:pt idx="107" formatCode="#,##0_);[Red]\(#,##0\)">
                  <c:v>296887.5</c:v>
                </c:pt>
                <c:pt idx="108" formatCode="#,##0_);[Red]\(#,##0\)">
                  <c:v>297355.68</c:v>
                </c:pt>
                <c:pt idx="109" formatCode="#,##0_);[Red]\(#,##0\)">
                  <c:v>298760.68</c:v>
                </c:pt>
                <c:pt idx="110" formatCode="#,##0_);[Red]\(#,##0\)">
                  <c:v>279006.82</c:v>
                </c:pt>
                <c:pt idx="111" formatCode="#,##0_);[Red]\(#,##0\)">
                  <c:v>279007</c:v>
                </c:pt>
                <c:pt idx="112" formatCode="#,##0_);[Red]\(#,##0\)">
                  <c:v>279007</c:v>
                </c:pt>
                <c:pt idx="113" formatCode="#,##0_);[Red]\(#,##0\)">
                  <c:v>279112.07</c:v>
                </c:pt>
                <c:pt idx="114" formatCode="#,##0_);[Red]\(#,##0\)">
                  <c:v>279112</c:v>
                </c:pt>
                <c:pt idx="115" formatCode="#,##0_);[Red]\(#,##0\)">
                  <c:v>244072.02</c:v>
                </c:pt>
                <c:pt idx="116" formatCode="#,##0_);[Red]\(#,##0\)">
                  <c:v>249325.41</c:v>
                </c:pt>
                <c:pt idx="117" formatCode="#,##0_);[Red]\(#,##0\)">
                  <c:v>249325</c:v>
                </c:pt>
                <c:pt idx="118" formatCode="#,##0_);[Red]\(#,##0\)">
                  <c:v>252874.48</c:v>
                </c:pt>
                <c:pt idx="119" formatCode="#,##0_);[Red]\(#,##0\)">
                  <c:v>253128.65</c:v>
                </c:pt>
                <c:pt idx="120" formatCode="#,##0_);[Red]\(#,##0\)">
                  <c:v>255098.96</c:v>
                </c:pt>
                <c:pt idx="121" formatCode="#,##0_);[Red]\(#,##0\)">
                  <c:v>253521.42</c:v>
                </c:pt>
                <c:pt idx="122" formatCode="#,##0_);[Red]\(#,##0\)">
                  <c:v>253521</c:v>
                </c:pt>
                <c:pt idx="123" formatCode="#,##0_);[Red]\(#,##0\)">
                  <c:v>235912.36</c:v>
                </c:pt>
                <c:pt idx="124" formatCode="#,##0_);[Red]\(#,##0\)">
                  <c:v>235912</c:v>
                </c:pt>
                <c:pt idx="125" formatCode="#,##0_);[Red]\(#,##0\)">
                  <c:v>198879.76</c:v>
                </c:pt>
                <c:pt idx="126" formatCode="#,##0_);[Red]\(#,##0\)">
                  <c:v>199009.76</c:v>
                </c:pt>
                <c:pt idx="127" formatCode="#,##0_);[Red]\(#,##0\)">
                  <c:v>199010</c:v>
                </c:pt>
                <c:pt idx="128" formatCode="#,##0_);[Red]\(#,##0\)">
                  <c:v>210354</c:v>
                </c:pt>
                <c:pt idx="129" formatCode="#,##0_);[Red]\(#,##0\)">
                  <c:v>260779.62</c:v>
                </c:pt>
                <c:pt idx="130" formatCode="#,##0_);[Red]\(#,##0\)">
                  <c:v>260780</c:v>
                </c:pt>
                <c:pt idx="131" formatCode="#,##0_);[Red]\(#,##0\)">
                  <c:v>260780</c:v>
                </c:pt>
                <c:pt idx="132" formatCode="#,##0_);[Red]\(#,##0\)">
                  <c:v>260780</c:v>
                </c:pt>
                <c:pt idx="133" formatCode="#,##0_);[Red]\(#,##0\)">
                  <c:v>261774.11</c:v>
                </c:pt>
                <c:pt idx="134" formatCode="#,##0_);[Red]\(#,##0\)">
                  <c:v>261774</c:v>
                </c:pt>
                <c:pt idx="135" formatCode="#,##0_);[Red]\(#,##0\)">
                  <c:v>226950.89</c:v>
                </c:pt>
                <c:pt idx="136" formatCode="#,##0_);[Red]\(#,##0\)">
                  <c:v>226951</c:v>
                </c:pt>
                <c:pt idx="137" formatCode="#,##0_);[Red]\(#,##0\)">
                  <c:v>248711.94</c:v>
                </c:pt>
                <c:pt idx="138" formatCode="#,##0_);[Red]\(#,##0\)">
                  <c:v>256201.58</c:v>
                </c:pt>
                <c:pt idx="139" formatCode="#,##0_);[Red]\(#,##0\)">
                  <c:v>256272.97</c:v>
                </c:pt>
                <c:pt idx="140" formatCode="#,##0_);[Red]\(#,##0\)">
                  <c:v>256056.42</c:v>
                </c:pt>
                <c:pt idx="141" formatCode="#,##0_);[Red]\(#,##0\)">
                  <c:v>257213.96</c:v>
                </c:pt>
                <c:pt idx="142" formatCode="#,##0_);[Red]\(#,##0\)">
                  <c:v>257214</c:v>
                </c:pt>
                <c:pt idx="143" formatCode="#,##0_);[Red]\(#,##0\)">
                  <c:v>260075.5</c:v>
                </c:pt>
                <c:pt idx="144" formatCode="#,##0_);[Red]\(#,##0\)">
                  <c:v>339825.5</c:v>
                </c:pt>
                <c:pt idx="145" formatCode="#,##0_);[Red]\(#,##0\)">
                  <c:v>303182.65000000002</c:v>
                </c:pt>
                <c:pt idx="146" formatCode="#,##0_);[Red]\(#,##0\)">
                  <c:v>322340.12</c:v>
                </c:pt>
                <c:pt idx="147" formatCode="#,##0_);[Red]\(#,##0\)">
                  <c:v>322340</c:v>
                </c:pt>
                <c:pt idx="148" formatCode="#,##0_);[Red]\(#,##0\)">
                  <c:v>308772.78999999998</c:v>
                </c:pt>
                <c:pt idx="149" formatCode="#,##0_);[Red]\(#,##0\)">
                  <c:v>317343.40999999997</c:v>
                </c:pt>
                <c:pt idx="150" formatCode="#,##0_);[Red]\(#,##0\)">
                  <c:v>317343</c:v>
                </c:pt>
                <c:pt idx="151" formatCode="#,##0_);[Red]\(#,##0\)">
                  <c:v>369152.35</c:v>
                </c:pt>
                <c:pt idx="152" formatCode="#,##0_);[Red]\(#,##0\)">
                  <c:v>371061.94</c:v>
                </c:pt>
                <c:pt idx="153" formatCode="#,##0_);[Red]\(#,##0\)">
                  <c:v>372080.87</c:v>
                </c:pt>
                <c:pt idx="154" formatCode="#,##0_);[Red]\(#,##0\)">
                  <c:v>372080.87</c:v>
                </c:pt>
                <c:pt idx="155" formatCode="#,##0_);[Red]\(#,##0\)">
                  <c:v>336189.47</c:v>
                </c:pt>
                <c:pt idx="156" formatCode="#,##0_);[Red]\(#,##0\)">
                  <c:v>340998.07</c:v>
                </c:pt>
                <c:pt idx="157" formatCode="#,##0_);[Red]\(#,##0\)">
                  <c:v>332763.65000000002</c:v>
                </c:pt>
                <c:pt idx="158" formatCode="#,##0_);[Red]\(#,##0\)">
                  <c:v>375651.45</c:v>
                </c:pt>
                <c:pt idx="159" formatCode="#,##0_);[Red]\(#,##0\)">
                  <c:v>378293.21</c:v>
                </c:pt>
                <c:pt idx="160" formatCode="#,##0_);[Red]\(#,##0\)">
                  <c:v>378293</c:v>
                </c:pt>
                <c:pt idx="161" formatCode="#,##0_);[Red]\(#,##0\)">
                  <c:v>401190.06</c:v>
                </c:pt>
                <c:pt idx="162" formatCode="#,##0_);[Red]\(#,##0\)">
                  <c:v>401190</c:v>
                </c:pt>
                <c:pt idx="163" formatCode="#,##0_);[Red]\(#,##0\)">
                  <c:v>401569.72</c:v>
                </c:pt>
                <c:pt idx="164" formatCode="#,##0_);[Red]\(#,##0\)">
                  <c:v>403837.72</c:v>
                </c:pt>
                <c:pt idx="165" formatCode="#,##0_);[Red]\(#,##0\)">
                  <c:v>369495.17</c:v>
                </c:pt>
                <c:pt idx="166" formatCode="#,##0_);[Red]\(#,##0\)">
                  <c:v>379169.06</c:v>
                </c:pt>
                <c:pt idx="167" formatCode="#,##0_);[Red]\(#,##0\)">
                  <c:v>379169</c:v>
                </c:pt>
                <c:pt idx="168" formatCode="#,##0_);[Red]\(#,##0\)">
                  <c:v>372540.41</c:v>
                </c:pt>
                <c:pt idx="169" formatCode="#,##0_);[Red]\(#,##0\)">
                  <c:v>372540</c:v>
                </c:pt>
                <c:pt idx="170" formatCode="#,##0_);[Red]\(#,##0\)">
                  <c:v>372540</c:v>
                </c:pt>
                <c:pt idx="171" formatCode="#,##0_);[Red]\(#,##0\)">
                  <c:v>374625.25</c:v>
                </c:pt>
                <c:pt idx="172" formatCode="#,##0_);[Red]\(#,##0\)">
                  <c:v>382658.46</c:v>
                </c:pt>
                <c:pt idx="173" formatCode="#,##0_);[Red]\(#,##0\)">
                  <c:v>389160.26</c:v>
                </c:pt>
                <c:pt idx="174" formatCode="#,##0_);[Red]\(#,##0\)">
                  <c:v>389160</c:v>
                </c:pt>
                <c:pt idx="175" formatCode="#,##0_);[Red]\(#,##0\)">
                  <c:v>389160</c:v>
                </c:pt>
                <c:pt idx="176" formatCode="#,##0_);[Red]\(#,##0\)">
                  <c:v>352908.42</c:v>
                </c:pt>
                <c:pt idx="177" formatCode="#,##0_);[Red]\(#,##0\)">
                  <c:v>383959.41</c:v>
                </c:pt>
                <c:pt idx="178" formatCode="#,##0_);[Red]\(#,##0\)">
                  <c:v>403148.81</c:v>
                </c:pt>
                <c:pt idx="179" formatCode="#,##0_);[Red]\(#,##0\)">
                  <c:v>403344.11</c:v>
                </c:pt>
                <c:pt idx="180" formatCode="#,##0_);[Red]\(#,##0\)">
                  <c:v>403344</c:v>
                </c:pt>
                <c:pt idx="181" formatCode="#,##0_);[Red]\(#,##0\)">
                  <c:v>403344</c:v>
                </c:pt>
                <c:pt idx="182" formatCode="#,##0_);[Red]\(#,##0\)">
                  <c:v>403344</c:v>
                </c:pt>
                <c:pt idx="183" formatCode="#,##0_);[Red]\(#,##0\)">
                  <c:v>400016.8</c:v>
                </c:pt>
                <c:pt idx="184" formatCode="#,##0_);[Red]\(#,##0\)">
                  <c:v>400134.96</c:v>
                </c:pt>
                <c:pt idx="185" formatCode="#,##0_);[Red]\(#,##0\)">
                  <c:v>364805.11</c:v>
                </c:pt>
                <c:pt idx="186" formatCode="#,##0_);[Red]\(#,##0\)">
                  <c:v>364805</c:v>
                </c:pt>
                <c:pt idx="187" formatCode="#,##0_);[Red]\(#,##0\)">
                  <c:v>371804.33</c:v>
                </c:pt>
                <c:pt idx="188" formatCode="#,##0_);[Red]\(#,##0\)">
                  <c:v>370759.85</c:v>
                </c:pt>
                <c:pt idx="189" formatCode="#,##0_);[Red]\(#,##0\)">
                  <c:v>389878.66</c:v>
                </c:pt>
                <c:pt idx="190" formatCode="#,##0_);[Red]\(#,##0\)">
                  <c:v>393013.02</c:v>
                </c:pt>
                <c:pt idx="191" formatCode="#,##0_);[Red]\(#,##0\)">
                  <c:v>393593.22</c:v>
                </c:pt>
                <c:pt idx="192" formatCode="#,##0_);[Red]\(#,##0\)">
                  <c:v>393593</c:v>
                </c:pt>
                <c:pt idx="193" formatCode="#,##0_);[Red]\(#,##0\)">
                  <c:v>385433.95</c:v>
                </c:pt>
                <c:pt idx="194" formatCode="#,##0_);[Red]\(#,##0\)">
                  <c:v>385678.15</c:v>
                </c:pt>
                <c:pt idx="195" formatCode="#,##0_);[Red]\(#,##0\)">
                  <c:v>350949.28</c:v>
                </c:pt>
                <c:pt idx="196" formatCode="#,##0_);[Red]\(#,##0\)">
                  <c:v>352010.98</c:v>
                </c:pt>
                <c:pt idx="197" formatCode="#,##0_);[Red]\(#,##0\)">
                  <c:v>352011</c:v>
                </c:pt>
                <c:pt idx="198" formatCode="#,##0_);[Red]\(#,##0\)">
                  <c:v>348679</c:v>
                </c:pt>
                <c:pt idx="199" formatCode="#,##0_);[Red]\(#,##0\)">
                  <c:v>348679</c:v>
                </c:pt>
                <c:pt idx="200" formatCode="#,##0_);[Red]\(#,##0\)">
                  <c:v>348679</c:v>
                </c:pt>
                <c:pt idx="201" formatCode="#,##0_);[Red]\(#,##0\)">
                  <c:v>348679</c:v>
                </c:pt>
                <c:pt idx="202" formatCode="#,##0_);[Red]\(#,##0\)">
                  <c:v>348761.24</c:v>
                </c:pt>
                <c:pt idx="203" formatCode="#,##0_);[Red]\(#,##0\)">
                  <c:v>349998.26</c:v>
                </c:pt>
                <c:pt idx="204" formatCode="#,##0_);[Red]\(#,##0\)">
                  <c:v>370561.14</c:v>
                </c:pt>
                <c:pt idx="205" formatCode="#,##0_);[Red]\(#,##0\)">
                  <c:v>336220.14</c:v>
                </c:pt>
                <c:pt idx="206" formatCode="#,##0_);[Red]\(#,##0\)">
                  <c:v>336332.14</c:v>
                </c:pt>
                <c:pt idx="207" formatCode="#,##0_);[Red]\(#,##0\)">
                  <c:v>336332</c:v>
                </c:pt>
                <c:pt idx="208" formatCode="#,##0_);[Red]\(#,##0\)">
                  <c:v>339185.02</c:v>
                </c:pt>
                <c:pt idx="209" formatCode="#,##0_);[Red]\(#,##0\)">
                  <c:v>344936.35</c:v>
                </c:pt>
                <c:pt idx="210" formatCode="#,##0_);[Red]\(#,##0\)">
                  <c:v>344564.68</c:v>
                </c:pt>
                <c:pt idx="211" formatCode="#,##0_);[Red]\(#,##0\)">
                  <c:v>344565</c:v>
                </c:pt>
                <c:pt idx="212" formatCode="#,##0_);[Red]\(#,##0\)">
                  <c:v>344829.18</c:v>
                </c:pt>
                <c:pt idx="213" formatCode="#,##0_);[Red]\(#,##0\)">
                  <c:v>339942.05</c:v>
                </c:pt>
                <c:pt idx="214" formatCode="#,##0_);[Red]\(#,##0\)">
                  <c:v>360185.72</c:v>
                </c:pt>
                <c:pt idx="215" formatCode="#,##0_);[Red]\(#,##0\)">
                  <c:v>323067.73</c:v>
                </c:pt>
                <c:pt idx="216" formatCode="#,##0_);[Red]\(#,##0\)">
                  <c:v>323197.73</c:v>
                </c:pt>
                <c:pt idx="217" formatCode="#,##0_);[Red]\(#,##0\)">
                  <c:v>323198</c:v>
                </c:pt>
                <c:pt idx="218" formatCode="#,##0_);[Red]\(#,##0\)">
                  <c:v>341044.7</c:v>
                </c:pt>
                <c:pt idx="219" formatCode="#,##0_);[Red]\(#,##0\)">
                  <c:v>341676.17</c:v>
                </c:pt>
                <c:pt idx="220" formatCode="#,##0_);[Red]\(#,##0\)">
                  <c:v>341676</c:v>
                </c:pt>
                <c:pt idx="221" formatCode="#,##0_);[Red]\(#,##0\)">
                  <c:v>341676</c:v>
                </c:pt>
                <c:pt idx="222" formatCode="#,##0_);[Red]\(#,##0\)">
                  <c:v>379863.97</c:v>
                </c:pt>
                <c:pt idx="223" formatCode="#,##0_);[Red]\(#,##0\)">
                  <c:v>378842.06</c:v>
                </c:pt>
                <c:pt idx="224" formatCode="#,##0_);[Red]\(#,##0\)">
                  <c:v>378842</c:v>
                </c:pt>
                <c:pt idx="225" formatCode="#,##0_);[Red]\(#,##0\)">
                  <c:v>340784.14</c:v>
                </c:pt>
                <c:pt idx="226" formatCode="#,##0_);[Red]\(#,##0\)">
                  <c:v>340784</c:v>
                </c:pt>
                <c:pt idx="227" formatCode="#,##0_);[Red]\(#,##0\)">
                  <c:v>340895.76</c:v>
                </c:pt>
                <c:pt idx="228" formatCode="#,##0_);[Red]\(#,##0\)">
                  <c:v>354246.44</c:v>
                </c:pt>
                <c:pt idx="229" formatCode="#,##0_);[Red]\(#,##0\)">
                  <c:v>354246.44</c:v>
                </c:pt>
                <c:pt idx="230" formatCode="#,##0_);[Red]\(#,##0\)">
                  <c:v>354264.44</c:v>
                </c:pt>
                <c:pt idx="231" formatCode="#,##0_);[Red]\(#,##0\)">
                  <c:v>354264</c:v>
                </c:pt>
                <c:pt idx="232" formatCode="#,##0_);[Red]\(#,##0\)">
                  <c:v>357804.55</c:v>
                </c:pt>
                <c:pt idx="233" formatCode="#,##0_);[Red]\(#,##0\)">
                  <c:v>357805</c:v>
                </c:pt>
                <c:pt idx="234" formatCode="#,##0_);[Red]\(#,##0\)">
                  <c:v>361119.05</c:v>
                </c:pt>
                <c:pt idx="235" formatCode="#,##0_);[Red]\(#,##0\)">
                  <c:v>318415.71000000002</c:v>
                </c:pt>
                <c:pt idx="236" formatCode="#,##0_);[Red]\(#,##0\)">
                  <c:v>320237.53999999998</c:v>
                </c:pt>
                <c:pt idx="237" formatCode="#,##0_);[Red]\(#,##0\)">
                  <c:v>320237.53999999998</c:v>
                </c:pt>
                <c:pt idx="238" formatCode="#,##0_);[Red]\(#,##0\)">
                  <c:v>325286.46999999997</c:v>
                </c:pt>
                <c:pt idx="239" formatCode="#,##0_);[Red]\(#,##0\)">
                  <c:v>334247.03000000003</c:v>
                </c:pt>
                <c:pt idx="240" formatCode="#,##0_);[Red]\(#,##0\)">
                  <c:v>334247</c:v>
                </c:pt>
                <c:pt idx="241" formatCode="#,##0_);[Red]\(#,##0\)">
                  <c:v>334247.03000000003</c:v>
                </c:pt>
                <c:pt idx="242" formatCode="#,##0_);[Red]\(#,##0\)">
                  <c:v>334247</c:v>
                </c:pt>
                <c:pt idx="243" formatCode="#,##0_);[Red]\(#,##0\)">
                  <c:v>323171.46000000002</c:v>
                </c:pt>
                <c:pt idx="244" formatCode="#,##0_);[Red]\(#,##0\)">
                  <c:v>324229.90999999997</c:v>
                </c:pt>
                <c:pt idx="245" formatCode="#,##0_);[Red]\(#,##0\)">
                  <c:v>324230</c:v>
                </c:pt>
                <c:pt idx="246" formatCode="#,##0_);[Red]\(#,##0\)">
                  <c:v>286030.39</c:v>
                </c:pt>
                <c:pt idx="247" formatCode="#,##0_);[Red]\(#,##0\)">
                  <c:v>286197.44</c:v>
                </c:pt>
                <c:pt idx="248" formatCode="#,##0_);[Red]\(#,##0\)">
                  <c:v>280065.2</c:v>
                </c:pt>
                <c:pt idx="249" formatCode="#,##0_);[Red]\(#,##0\)">
                  <c:v>284409.09999999998</c:v>
                </c:pt>
                <c:pt idx="250" formatCode="#,##0_);[Red]\(#,##0\)">
                  <c:v>285119.09999999998</c:v>
                </c:pt>
                <c:pt idx="251" formatCode="#,##0_);[Red]\(#,##0\)">
                  <c:v>285395.49</c:v>
                </c:pt>
                <c:pt idx="252" formatCode="#,##0_);[Red]\(#,##0\)">
                  <c:v>285395</c:v>
                </c:pt>
                <c:pt idx="253" formatCode="#,##0_);[Red]\(#,##0\)">
                  <c:v>285542.49</c:v>
                </c:pt>
                <c:pt idx="254" formatCode="#,##0_);[Red]\(#,##0\)">
                  <c:v>285542</c:v>
                </c:pt>
                <c:pt idx="255" formatCode="#,##0_);[Red]\(#,##0\)">
                  <c:v>285542</c:v>
                </c:pt>
                <c:pt idx="256" formatCode="#,##0_);[Red]\(#,##0\)">
                  <c:v>248584.72</c:v>
                </c:pt>
                <c:pt idx="257" formatCode="#,##0_);[Red]\(#,##0\)">
                  <c:v>248585</c:v>
                </c:pt>
                <c:pt idx="258" formatCode="#,##0_);[Red]\(#,##0\)">
                  <c:v>270685.83</c:v>
                </c:pt>
                <c:pt idx="259" formatCode="#,##0_);[Red]\(#,##0\)">
                  <c:v>282558.58</c:v>
                </c:pt>
                <c:pt idx="260" formatCode="#,##0_);[Red]\(#,##0\)">
                  <c:v>282559</c:v>
                </c:pt>
                <c:pt idx="261" formatCode="#,##0_);[Red]\(#,##0\)">
                  <c:v>282508.58</c:v>
                </c:pt>
                <c:pt idx="262" formatCode="#,##0_);[Red]\(#,##0\)">
                  <c:v>282509</c:v>
                </c:pt>
                <c:pt idx="263" formatCode="#,##0_);[Red]\(#,##0\)">
                  <c:v>283213.14</c:v>
                </c:pt>
                <c:pt idx="264" formatCode="#,##0_);[Red]\(#,##0\)">
                  <c:v>297779.06</c:v>
                </c:pt>
                <c:pt idx="265" formatCode="#,##0_);[Red]\(#,##0\)">
                  <c:v>263886.2</c:v>
                </c:pt>
                <c:pt idx="266" formatCode="#,##0_);[Red]\(#,##0\)">
                  <c:v>277030.96999999997</c:v>
                </c:pt>
                <c:pt idx="267" formatCode="#,##0_);[Red]\(#,##0\)">
                  <c:v>277031</c:v>
                </c:pt>
                <c:pt idx="268" formatCode="#,##0_);[Red]\(#,##0\)">
                  <c:v>281394.14</c:v>
                </c:pt>
                <c:pt idx="269" formatCode="#,##0_);[Red]\(#,##0\)">
                  <c:v>281470.18</c:v>
                </c:pt>
                <c:pt idx="270" formatCode="#,##0_);[Red]\(#,##0\)">
                  <c:v>281470</c:v>
                </c:pt>
                <c:pt idx="271" formatCode="#,##0_);[Red]\(#,##0\)">
                  <c:v>284325.94</c:v>
                </c:pt>
                <c:pt idx="272" formatCode="#,##0_);[Red]\(#,##0\)">
                  <c:v>305911.78000000003</c:v>
                </c:pt>
                <c:pt idx="273" formatCode="#,##0_);[Red]\(#,##0\)">
                  <c:v>305752.93</c:v>
                </c:pt>
                <c:pt idx="274" formatCode="#,##0_);[Red]\(#,##0\)">
                  <c:v>332730.14</c:v>
                </c:pt>
                <c:pt idx="275" formatCode="#,##0_);[Red]\(#,##0\)">
                  <c:v>291419.49</c:v>
                </c:pt>
                <c:pt idx="276" formatCode="#,##0_);[Red]\(#,##0\)">
                  <c:v>293419.65000000002</c:v>
                </c:pt>
                <c:pt idx="277" formatCode="#,##0_);[Red]\(#,##0\)">
                  <c:v>293420</c:v>
                </c:pt>
                <c:pt idx="278" formatCode="#,##0_);[Red]\(#,##0\)">
                  <c:v>301331.82</c:v>
                </c:pt>
                <c:pt idx="279" formatCode="#,##0_);[Red]\(#,##0\)">
                  <c:v>327084.28999999998</c:v>
                </c:pt>
                <c:pt idx="280" formatCode="#,##0_);[Red]\(#,##0\)">
                  <c:v>327084</c:v>
                </c:pt>
                <c:pt idx="281" formatCode="#,##0_);[Red]\(#,##0\)">
                  <c:v>327084</c:v>
                </c:pt>
                <c:pt idx="282" formatCode="#,##0_);[Red]\(#,##0\)">
                  <c:v>337130.63</c:v>
                </c:pt>
                <c:pt idx="283" formatCode="#,##0_);[Red]\(#,##0\)">
                  <c:v>334292.59999999998</c:v>
                </c:pt>
                <c:pt idx="284" formatCode="#,##0_);[Red]\(#,##0\)">
                  <c:v>335977.23</c:v>
                </c:pt>
                <c:pt idx="285" formatCode="#,##0_);[Red]\(#,##0\)">
                  <c:v>300614.99</c:v>
                </c:pt>
                <c:pt idx="286" formatCode="#,##0_);[Red]\(#,##0\)">
                  <c:v>295509.53999999998</c:v>
                </c:pt>
                <c:pt idx="287" formatCode="#,##0_);[Red]\(#,##0\)">
                  <c:v>295510</c:v>
                </c:pt>
                <c:pt idx="288" formatCode="#,##0_);[Red]\(#,##0\)">
                  <c:v>295623.09999999998</c:v>
                </c:pt>
                <c:pt idx="289" formatCode="#,##0_);[Red]\(#,##0\)">
                  <c:v>295623</c:v>
                </c:pt>
                <c:pt idx="290" formatCode="#,##0_);[Red]\(#,##0\)">
                  <c:v>299232.09999999998</c:v>
                </c:pt>
                <c:pt idx="291" formatCode="#,##0_);[Red]\(#,##0\)">
                  <c:v>304422.01</c:v>
                </c:pt>
                <c:pt idx="292" formatCode="#,##0_);[Red]\(#,##0\)">
                  <c:v>330191.24</c:v>
                </c:pt>
                <c:pt idx="293" formatCode="#,##0_);[Red]\(#,##0\)">
                  <c:v>313471.64</c:v>
                </c:pt>
                <c:pt idx="294" formatCode="#,##0_);[Red]\(#,##0\)">
                  <c:v>313472</c:v>
                </c:pt>
                <c:pt idx="295" formatCode="#,##0_);[Red]\(#,##0\)">
                  <c:v>313472</c:v>
                </c:pt>
                <c:pt idx="296" formatCode="#,##0_);[Red]\(#,##0\)">
                  <c:v>277471.58</c:v>
                </c:pt>
                <c:pt idx="297" formatCode="#,##0_);[Red]\(#,##0\)">
                  <c:v>287526.92</c:v>
                </c:pt>
                <c:pt idx="298" formatCode="#,##0_);[Red]\(#,##0\)">
                  <c:v>296486.64</c:v>
                </c:pt>
                <c:pt idx="299" formatCode="#,##0_);[Red]\(#,##0\)">
                  <c:v>296487</c:v>
                </c:pt>
                <c:pt idx="300" formatCode="#,##0_);[Red]\(#,##0\)">
                  <c:v>296487</c:v>
                </c:pt>
                <c:pt idx="301" formatCode="#,##0_);[Red]\(#,##0\)">
                  <c:v>335911.5</c:v>
                </c:pt>
                <c:pt idx="302" formatCode="#,##0_);[Red]\(#,##0\)">
                  <c:v>335912</c:v>
                </c:pt>
                <c:pt idx="303" formatCode="#,##0_);[Red]\(#,##0\)">
                  <c:v>330042.21999999997</c:v>
                </c:pt>
                <c:pt idx="304" formatCode="#,##0_);[Red]\(#,##0\)">
                  <c:v>367034.5</c:v>
                </c:pt>
                <c:pt idx="305" formatCode="#,##0_);[Red]\(#,##0\)">
                  <c:v>330990.42</c:v>
                </c:pt>
                <c:pt idx="306" formatCode="#,##0_);[Red]\(#,##0\)">
                  <c:v>333065.89</c:v>
                </c:pt>
                <c:pt idx="307" formatCode="#,##0_);[Red]\(#,##0\)">
                  <c:v>331065.89</c:v>
                </c:pt>
                <c:pt idx="308" formatCode="#,##0_);[Red]\(#,##0\)">
                  <c:v>331092.17</c:v>
                </c:pt>
                <c:pt idx="309" formatCode="#,##0_);[Red]\(#,##0\)">
                  <c:v>311733.17</c:v>
                </c:pt>
                <c:pt idx="310" formatCode="#,##0_);[Red]\(#,##0\)">
                  <c:v>317116.19</c:v>
                </c:pt>
                <c:pt idx="311" formatCode="#,##0_);[Red]\(#,##0\)">
                  <c:v>317116</c:v>
                </c:pt>
                <c:pt idx="312" formatCode="#,##0_);[Red]\(#,##0\)">
                  <c:v>317496.19</c:v>
                </c:pt>
                <c:pt idx="313" formatCode="#,##0_);[Red]\(#,##0\)">
                  <c:v>317772.45</c:v>
                </c:pt>
                <c:pt idx="314" formatCode="#,##0_);[Red]\(#,##0\)">
                  <c:v>317772</c:v>
                </c:pt>
                <c:pt idx="315" formatCode="#,##0_);[Red]\(#,##0\)">
                  <c:v>279446.55</c:v>
                </c:pt>
                <c:pt idx="316" formatCode="#,##0_);[Red]\(#,##0\)">
                  <c:v>272785.62</c:v>
                </c:pt>
                <c:pt idx="317" formatCode="#,##0_);[Red]\(#,##0\)">
                  <c:v>288240.15999999997</c:v>
                </c:pt>
                <c:pt idx="318" formatCode="#,##0_);[Red]\(#,##0\)">
                  <c:v>278742.74</c:v>
                </c:pt>
                <c:pt idx="319" formatCode="#,##0_);[Red]\(#,##0\)">
                  <c:v>278840.24</c:v>
                </c:pt>
                <c:pt idx="320" formatCode="#,##0_);[Red]\(#,##0\)">
                  <c:v>278942.24</c:v>
                </c:pt>
                <c:pt idx="321" formatCode="#,##0_);[Red]\(#,##0\)">
                  <c:v>257048.49</c:v>
                </c:pt>
                <c:pt idx="322" formatCode="#,##0_);[Red]\(#,##0\)">
                  <c:v>252662.47</c:v>
                </c:pt>
                <c:pt idx="323" formatCode="#,##0_);[Red]\(#,##0\)">
                  <c:v>254708.73</c:v>
                </c:pt>
                <c:pt idx="324" formatCode="#,##0_);[Red]\(#,##0\)">
                  <c:v>281702.86</c:v>
                </c:pt>
                <c:pt idx="325" formatCode="#,##0_);[Red]\(#,##0\)">
                  <c:v>244220.77</c:v>
                </c:pt>
                <c:pt idx="326" formatCode="#,##0_);[Red]\(#,##0\)">
                  <c:v>244221</c:v>
                </c:pt>
                <c:pt idx="327" formatCode="#,##0_);[Red]\(#,##0\)">
                  <c:v>244221</c:v>
                </c:pt>
                <c:pt idx="328" formatCode="#,##0_);[Red]\(#,##0\)">
                  <c:v>225503.87</c:v>
                </c:pt>
                <c:pt idx="329" formatCode="#,##0_);[Red]\(#,##0\)">
                  <c:v>225504</c:v>
                </c:pt>
                <c:pt idx="330" formatCode="#,##0_);[Red]\(#,##0\)">
                  <c:v>225503.8</c:v>
                </c:pt>
                <c:pt idx="331" formatCode="#,##0_);[Red]\(#,##0\)">
                  <c:v>227389.96</c:v>
                </c:pt>
                <c:pt idx="332" formatCode="#,##0_);[Red]\(#,##0\)">
                  <c:v>235472.53</c:v>
                </c:pt>
                <c:pt idx="333" formatCode="#,##0_);[Red]\(#,##0\)">
                  <c:v>222207.84</c:v>
                </c:pt>
                <c:pt idx="334" formatCode="#,##0_);[Red]\(#,##0\)">
                  <c:v>222287.93</c:v>
                </c:pt>
                <c:pt idx="335" formatCode="#,##0_);[Red]\(#,##0\)">
                  <c:v>186664.28</c:v>
                </c:pt>
                <c:pt idx="336" formatCode="#,##0_);[Red]\(#,##0\)">
                  <c:v>188484.95</c:v>
                </c:pt>
                <c:pt idx="337" formatCode="#,##0_);[Red]\(#,##0\)">
                  <c:v>188485</c:v>
                </c:pt>
                <c:pt idx="338" formatCode="#,##0_);[Red]\(#,##0\)">
                  <c:v>180474.73</c:v>
                </c:pt>
                <c:pt idx="339" formatCode="#,##0_);[Red]\(#,##0\)">
                  <c:v>188207.38</c:v>
                </c:pt>
                <c:pt idx="340" formatCode="#,##0_);[Red]\(#,##0\)">
                  <c:v>198618.83</c:v>
                </c:pt>
                <c:pt idx="341" formatCode="#,##0_);[Red]\(#,##0\)">
                  <c:v>198619</c:v>
                </c:pt>
                <c:pt idx="342" formatCode="#,##0_);[Red]\(#,##0\)">
                  <c:v>198619</c:v>
                </c:pt>
                <c:pt idx="343" formatCode="#,##0_);[Red]\(#,##0\)">
                  <c:v>189089.55</c:v>
                </c:pt>
                <c:pt idx="344" formatCode="#,##0_);[Red]\(#,##0\)">
                  <c:v>216053.77</c:v>
                </c:pt>
                <c:pt idx="345" formatCode="#,##0_);[Red]\(#,##0\)">
                  <c:v>179849.52</c:v>
                </c:pt>
                <c:pt idx="346" formatCode="#,##0_);[Red]\(#,##0\)">
                  <c:v>179850</c:v>
                </c:pt>
                <c:pt idx="347" formatCode="#,##0_);[Red]\(#,##0\)">
                  <c:v>173749.01</c:v>
                </c:pt>
                <c:pt idx="348" formatCode="#,##0_);[Red]\(#,##0\)">
                  <c:v>200792.85</c:v>
                </c:pt>
                <c:pt idx="349" formatCode="#,##0_);[Red]\(#,##0\)">
                  <c:v>202331.91</c:v>
                </c:pt>
                <c:pt idx="350" formatCode="#,##0_);[Red]\(#,##0\)">
                  <c:v>203517.87</c:v>
                </c:pt>
                <c:pt idx="351" formatCode="#,##0_);[Red]\(#,##0\)">
                  <c:v>203518</c:v>
                </c:pt>
                <c:pt idx="352" formatCode="#,##0_);[Red]\(#,##0\)">
                  <c:v>203518</c:v>
                </c:pt>
                <c:pt idx="353" formatCode="#,##0_);[Red]\(#,##0\)">
                  <c:v>191114.58</c:v>
                </c:pt>
                <c:pt idx="354" formatCode="#,##0_);[Red]\(#,##0\)">
                  <c:v>153114.57999999999</c:v>
                </c:pt>
                <c:pt idx="355" formatCode="#,##0_);[Red]\(#,##0\)">
                  <c:v>153115</c:v>
                </c:pt>
                <c:pt idx="356" formatCode="#,##0_);[Red]\(#,##0\)">
                  <c:v>182792.08</c:v>
                </c:pt>
                <c:pt idx="357" formatCode="#,##0_);[Red]\(#,##0\)">
                  <c:v>182792</c:v>
                </c:pt>
                <c:pt idx="358" formatCode="#,##0_);[Red]\(#,##0\)">
                  <c:v>222152.66</c:v>
                </c:pt>
                <c:pt idx="359" formatCode="#,##0_);[Red]\(#,##0\)">
                  <c:v>222153</c:v>
                </c:pt>
                <c:pt idx="360" formatCode="#,##0_);[Red]\(#,##0\)">
                  <c:v>222153</c:v>
                </c:pt>
                <c:pt idx="361" formatCode="#,##0_);[Red]\(#,##0\)">
                  <c:v>222153</c:v>
                </c:pt>
                <c:pt idx="362" formatCode="#,##0_);[Red]\(#,##0\)">
                  <c:v>222152</c:v>
                </c:pt>
                <c:pt idx="363" formatCode="#,##0_);[Red]\(#,##0\)">
                  <c:v>211720.43</c:v>
                </c:pt>
                <c:pt idx="364" formatCode="#,##0_);[Red]\(#,##0\)">
                  <c:v>211720</c:v>
                </c:pt>
                <c:pt idx="365" formatCode="#,##0_);[Red]\(#,##0\)">
                  <c:v>211720</c:v>
                </c:pt>
                <c:pt idx="366" formatCode="#,##0_);[Red]\(#,##0\)">
                  <c:v>176327.95</c:v>
                </c:pt>
              </c:numCache>
            </c:numRef>
          </c:val>
          <c:smooth val="0"/>
        </c:ser>
        <c:dLbls>
          <c:showLegendKey val="0"/>
          <c:showVal val="0"/>
          <c:showCatName val="0"/>
          <c:showSerName val="0"/>
          <c:showPercent val="0"/>
          <c:showBubbleSize val="0"/>
        </c:dLbls>
        <c:smooth val="0"/>
        <c:axId val="619180584"/>
        <c:axId val="527291784"/>
      </c:lineChart>
      <c:dateAx>
        <c:axId val="619180584"/>
        <c:scaling>
          <c:orientation val="minMax"/>
        </c:scaling>
        <c:delete val="0"/>
        <c:axPos val="b"/>
        <c:numFmt formatCode="[$-409]m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291784"/>
        <c:crosses val="autoZero"/>
        <c:auto val="1"/>
        <c:lblOffset val="100"/>
        <c:baseTimeUnit val="days"/>
        <c:majorUnit val="30"/>
        <c:majorTimeUnit val="days"/>
        <c:minorUnit val="4"/>
        <c:minorTimeUnit val="months"/>
      </c:dateAx>
      <c:valAx>
        <c:axId val="527291784"/>
        <c:scaling>
          <c:orientation val="minMax"/>
          <c:min val="150000"/>
        </c:scaling>
        <c:delete val="0"/>
        <c:axPos val="l"/>
        <c:majorGridlines>
          <c:spPr>
            <a:ln w="9525" cap="flat" cmpd="sng" algn="ctr">
              <a:solidFill>
                <a:schemeClr val="accent1"/>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9180584"/>
        <c:crossesAt val="42737"/>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824961535"/>
          <c:y val="0.18097222222222226"/>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Data!$F$538:$F$553</c:f>
              <c:numCache>
                <c:formatCode>mmm\-yy</c:formatCode>
                <c:ptCount val="16"/>
                <c:pt idx="0">
                  <c:v>42736</c:v>
                </c:pt>
                <c:pt idx="1">
                  <c:v>42767</c:v>
                </c:pt>
                <c:pt idx="2">
                  <c:v>42795</c:v>
                </c:pt>
                <c:pt idx="3">
                  <c:v>42826</c:v>
                </c:pt>
                <c:pt idx="4">
                  <c:v>42856</c:v>
                </c:pt>
                <c:pt idx="5">
                  <c:v>42887</c:v>
                </c:pt>
                <c:pt idx="6">
                  <c:v>42917</c:v>
                </c:pt>
                <c:pt idx="7">
                  <c:v>42948</c:v>
                </c:pt>
                <c:pt idx="8">
                  <c:v>42979</c:v>
                </c:pt>
                <c:pt idx="9">
                  <c:v>43009</c:v>
                </c:pt>
                <c:pt idx="10">
                  <c:v>43040</c:v>
                </c:pt>
                <c:pt idx="11">
                  <c:v>43070</c:v>
                </c:pt>
                <c:pt idx="12">
                  <c:v>43101</c:v>
                </c:pt>
                <c:pt idx="13">
                  <c:v>43132</c:v>
                </c:pt>
                <c:pt idx="14">
                  <c:v>43160</c:v>
                </c:pt>
                <c:pt idx="15">
                  <c:v>43191</c:v>
                </c:pt>
              </c:numCache>
            </c:numRef>
          </c:cat>
          <c:val>
            <c:numRef>
              <c:f>Data!$G$538:$G$553</c:f>
              <c:numCache>
                <c:formatCode>"$"#,##0_);[Red]\("$"#,##0\)</c:formatCode>
                <c:ptCount val="16"/>
                <c:pt idx="0">
                  <c:v>351420</c:v>
                </c:pt>
                <c:pt idx="1">
                  <c:v>253330</c:v>
                </c:pt>
                <c:pt idx="2">
                  <c:v>280744</c:v>
                </c:pt>
                <c:pt idx="3">
                  <c:v>319478.15999999997</c:v>
                </c:pt>
                <c:pt idx="4">
                  <c:v>241828.1</c:v>
                </c:pt>
                <c:pt idx="5">
                  <c:v>248981.18</c:v>
                </c:pt>
                <c:pt idx="6">
                  <c:v>268937.63</c:v>
                </c:pt>
                <c:pt idx="7">
                  <c:v>198251.6</c:v>
                </c:pt>
                <c:pt idx="8">
                  <c:v>178964.63</c:v>
                </c:pt>
                <c:pt idx="9">
                  <c:v>199171.39</c:v>
                </c:pt>
                <c:pt idx="10">
                  <c:v>180584.58</c:v>
                </c:pt>
                <c:pt idx="11">
                  <c:v>258260.86</c:v>
                </c:pt>
                <c:pt idx="12">
                  <c:v>297556.56</c:v>
                </c:pt>
                <c:pt idx="13">
                  <c:v>287550</c:v>
                </c:pt>
                <c:pt idx="14">
                  <c:v>277662.34000000003</c:v>
                </c:pt>
                <c:pt idx="15">
                  <c:v>309102</c:v>
                </c:pt>
              </c:numCache>
            </c:numRef>
          </c:val>
        </c:ser>
        <c:dLbls>
          <c:showLegendKey val="0"/>
          <c:showVal val="0"/>
          <c:showCatName val="0"/>
          <c:showSerName val="0"/>
          <c:showPercent val="0"/>
          <c:showBubbleSize val="0"/>
        </c:dLbls>
        <c:gapWidth val="243"/>
        <c:overlap val="-83"/>
        <c:axId val="526467768"/>
        <c:axId val="526468160"/>
      </c:barChart>
      <c:dateAx>
        <c:axId val="526467768"/>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6468160"/>
        <c:crosses val="autoZero"/>
        <c:auto val="1"/>
        <c:lblOffset val="100"/>
        <c:baseTimeUnit val="months"/>
      </c:dateAx>
      <c:valAx>
        <c:axId val="526468160"/>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6467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0B2CB-381E-444F-BB68-85FF79CE7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1569</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4</cp:revision>
  <dcterms:created xsi:type="dcterms:W3CDTF">2018-06-06T13:40:00Z</dcterms:created>
  <dcterms:modified xsi:type="dcterms:W3CDTF">2018-07-18T18:42:00Z</dcterms:modified>
</cp:coreProperties>
</file>